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A4" w:rsidRDefault="006C22A4" w:rsidP="006C22A4">
      <w:pPr>
        <w:pStyle w:val="Tytu"/>
        <w:tabs>
          <w:tab w:val="left" w:pos="5387"/>
        </w:tabs>
        <w:spacing w:line="240" w:lineRule="auto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  <w:bookmarkStart w:id="0" w:name="__DdeLink__49891_3085759772"/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Załącznik nr </w:t>
      </w:r>
      <w:r>
        <w:rPr>
          <w:rFonts w:ascii="Calibri Light" w:hAnsi="Calibri Light" w:cs="Calibri Light"/>
          <w:b/>
          <w:bCs/>
          <w:sz w:val="22"/>
          <w:szCs w:val="22"/>
          <w:u w:val="single"/>
        </w:rPr>
        <w:t>3.2</w:t>
      </w:r>
      <w:r w:rsidRPr="001A551B">
        <w:rPr>
          <w:rFonts w:ascii="Calibri Light" w:hAnsi="Calibri Light" w:cs="Calibri Light"/>
          <w:b/>
          <w:bCs/>
          <w:sz w:val="22"/>
          <w:szCs w:val="22"/>
          <w:u w:val="single"/>
        </w:rPr>
        <w:t xml:space="preserve"> do SIWZ</w:t>
      </w:r>
    </w:p>
    <w:p w:rsidR="006C22A4" w:rsidRPr="001A551B" w:rsidRDefault="006C22A4" w:rsidP="006C22A4">
      <w:pPr>
        <w:pStyle w:val="Tytu"/>
        <w:tabs>
          <w:tab w:val="left" w:pos="5387"/>
        </w:tabs>
        <w:spacing w:line="240" w:lineRule="auto"/>
        <w:jc w:val="right"/>
        <w:rPr>
          <w:rFonts w:ascii="Calibri Light" w:hAnsi="Calibri Light" w:cs="Calibri Light"/>
          <w:b/>
          <w:bCs/>
          <w:sz w:val="22"/>
          <w:szCs w:val="22"/>
          <w:u w:val="single"/>
        </w:rPr>
      </w:pPr>
    </w:p>
    <w:bookmarkEnd w:id="0"/>
    <w:p w:rsidR="0029154E" w:rsidRDefault="0029154E" w:rsidP="0029154E">
      <w:pPr>
        <w:pStyle w:val="Tytu"/>
        <w:spacing w:line="240" w:lineRule="auto"/>
        <w:rPr>
          <w:rFonts w:ascii="Calibri Light" w:hAnsi="Calibri Light" w:cs="Calibri Light"/>
          <w:b/>
          <w:bCs/>
          <w:sz w:val="24"/>
          <w:szCs w:val="22"/>
        </w:rPr>
      </w:pPr>
      <w:r>
        <w:rPr>
          <w:rFonts w:ascii="Calibri Light" w:hAnsi="Calibri Light" w:cs="Calibri Light"/>
          <w:b/>
          <w:bCs/>
          <w:sz w:val="24"/>
          <w:szCs w:val="22"/>
        </w:rPr>
        <w:t>OPIS PRZEDMIOTU ZAMÓWIENIA - ZESTAWIENIE PARAMETRÓW TECHNICZNYCH</w:t>
      </w:r>
    </w:p>
    <w:p w:rsidR="006C22A4" w:rsidRDefault="006C22A4" w:rsidP="006C22A4">
      <w:pPr>
        <w:pStyle w:val="Tytu"/>
        <w:spacing w:line="240" w:lineRule="auto"/>
        <w:rPr>
          <w:rFonts w:ascii="Calibri Light" w:hAnsi="Calibri Light" w:cs="Calibri Light"/>
          <w:b/>
          <w:bCs/>
          <w:szCs w:val="22"/>
        </w:rPr>
      </w:pPr>
      <w:bookmarkStart w:id="1" w:name="_GoBack"/>
      <w:bookmarkEnd w:id="1"/>
      <w:r w:rsidRPr="00442EBB">
        <w:rPr>
          <w:rFonts w:ascii="Calibri Light" w:hAnsi="Calibri Light" w:cs="Calibri Light"/>
          <w:b/>
          <w:bCs/>
          <w:szCs w:val="22"/>
        </w:rPr>
        <w:t xml:space="preserve">Część nr 2 – </w:t>
      </w:r>
      <w:r w:rsidRPr="00442EBB">
        <w:rPr>
          <w:rFonts w:ascii="Calibri Light" w:hAnsi="Calibri Light" w:cs="Calibri Light"/>
          <w:b/>
          <w:bCs/>
          <w:iCs/>
          <w:szCs w:val="22"/>
        </w:rPr>
        <w:t>Zestawy komputerowe: typ1 i typ2</w:t>
      </w:r>
    </w:p>
    <w:p w:rsidR="006C22A4" w:rsidRDefault="006C22A4" w:rsidP="006C22A4">
      <w:pPr>
        <w:pStyle w:val="Standard"/>
        <w:ind w:left="357"/>
        <w:jc w:val="center"/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</w:pPr>
    </w:p>
    <w:p w:rsidR="006C22A4" w:rsidRDefault="006C22A4">
      <w:pPr>
        <w:pStyle w:val="Standard"/>
        <w:ind w:left="357"/>
        <w:jc w:val="center"/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</w:pPr>
    </w:p>
    <w:p w:rsidR="00EF2612" w:rsidRDefault="0038209B">
      <w:pPr>
        <w:pStyle w:val="Standard"/>
        <w:ind w:left="357"/>
        <w:jc w:val="center"/>
      </w:pPr>
      <w:r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ZESTAW KOMPUTEROWY – TYP 1 – 25 sztuk</w:t>
      </w:r>
    </w:p>
    <w:p w:rsidR="00EF2612" w:rsidRDefault="00EF2612">
      <w:pPr>
        <w:pStyle w:val="Standard"/>
        <w:jc w:val="center"/>
        <w:rPr>
          <w:rFonts w:ascii="Arial" w:hAnsi="Arial" w:cs="Arial"/>
          <w:sz w:val="20"/>
          <w:szCs w:val="20"/>
          <w:u w:val="single"/>
        </w:rPr>
      </w:pPr>
    </w:p>
    <w:p w:rsidR="00EF2612" w:rsidRDefault="00EF2612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:rsidR="00EF2612" w:rsidRDefault="0038209B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urządzenia (typ/producent): ...............................................................................................................</w:t>
      </w:r>
    </w:p>
    <w:p w:rsidR="00EF2612" w:rsidRDefault="00EF2612">
      <w:pPr>
        <w:pStyle w:val="Standard"/>
        <w:jc w:val="both"/>
        <w:rPr>
          <w:rFonts w:ascii="Arial" w:hAnsi="Arial" w:cs="Arial"/>
        </w:rPr>
      </w:pPr>
    </w:p>
    <w:tbl>
      <w:tblPr>
        <w:tblW w:w="9317" w:type="dxa"/>
        <w:jc w:val="center"/>
        <w:tblBorders>
          <w:top w:val="double" w:sz="2" w:space="0" w:color="000001"/>
          <w:left w:val="double" w:sz="2" w:space="0" w:color="000001"/>
          <w:bottom w:val="single" w:sz="4" w:space="0" w:color="000001"/>
          <w:insideH w:val="single" w:sz="4" w:space="0" w:color="000001"/>
        </w:tblBorders>
        <w:tblCellMar>
          <w:left w:w="99" w:type="dxa"/>
        </w:tblCellMar>
        <w:tblLook w:val="04A0" w:firstRow="1" w:lastRow="0" w:firstColumn="1" w:lastColumn="0" w:noHBand="0" w:noVBand="1"/>
      </w:tblPr>
      <w:tblGrid>
        <w:gridCol w:w="4910"/>
        <w:gridCol w:w="2204"/>
        <w:gridCol w:w="2203"/>
      </w:tblGrid>
      <w:tr w:rsidR="00EF2612" w:rsidTr="006C22A4">
        <w:trPr>
          <w:cantSplit/>
          <w:trHeight w:val="584"/>
          <w:tblHeader/>
          <w:jc w:val="center"/>
        </w:trPr>
        <w:tc>
          <w:tcPr>
            <w:tcW w:w="4910" w:type="dxa"/>
            <w:tcBorders>
              <w:top w:val="double" w:sz="2" w:space="0" w:color="000001"/>
              <w:left w:val="double" w:sz="2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204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203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2F2F2" w:themeFill="background1" w:themeFillShade="F2"/>
            <w:vAlign w:val="center"/>
          </w:tcPr>
          <w:p w:rsidR="00EF2612" w:rsidRDefault="0038209B">
            <w:pPr>
              <w:pStyle w:val="Standard"/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 monitora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produkcji (urządzenie nie może być wyprodukowane wcześniej niż 1 rok od terminu składania ofert)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Procesor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Procesor w architekturze x86_64, 6-rdzeniowy, o bazowym taktowaniu nie mniejszym niż 3GHz, min. 9MB cache, ze zintegrowaną grafiką, TDP maks. 65W, , ze sprzętowym wsparciem wirtualizacji (VT-x lub AMD-V), osiągający w teście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PassMark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CPU Mark dostępnym na stronie https://www.cpubenchmark.net/cpu_list.php wynik nie mniejszy niż 11895 punktów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RAM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1x8GB UDIMM DDR4 2666 MHz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Płyta główna i funkcje BIOS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Płyta główna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zaprojektowana i wyprodukowana na zlecenie producenta komputera, dedykowana dla danego urządzenia.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Sprzętowe wsparcie technologii wirtualizacji realizowane łącznie w procesorze, chipsecie płyty głównej oraz w BIOS systemu (możliwość włączenia/wyłączenia sprzętowego wsparcia wirtualizacji dla poszczególnych komponentów systemu).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Zintegrowany kontroler SATA III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Min. 2 złącza DDR4/UDIMM z obsługą do 32GB pamięci RAM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Musi posiadać możliwość ustawienia zależności pomiędzy hasłem administratora a hasłem systemowy tak, aby nie było możliwe wprowadzenie zmian w BIOS wyłącznie po podaniu hasła systemowego. Funkcja ta ma wymuszać podanie hasła administratora przy próbie zmiany ustawień BIOS w sytuacji, gdy zostało podane hasło systemowe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Możliwość ustawienia portów USB w trybie „no BOOT”, czyli podczas startu komputer nie wykrywa urządzeń typu USB, natomiast po uruchomieniu systemu operacyjnego porty USB są aktywne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lastRenderedPageBreak/>
              <w:t>Kontrola czujnika otwarcia obudowy i funkcja zapisania incydentu otwarcia obudowy w BIOS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Możliwość wyłączenia portów USB na przednim panelu obudowy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Możliwość, bez uruchamiania systemu operacyjnego z dysku twardego komputera lub innych podłączonych do niego urządzeń zewnętrznych odczytania z BIOS informacji o:</w:t>
            </w:r>
          </w:p>
          <w:p w:rsidR="00EF2612" w:rsidRDefault="0038209B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wersji BIOS,</w:t>
            </w:r>
          </w:p>
          <w:p w:rsidR="00EF2612" w:rsidRDefault="0038209B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nr seryjnym komputera wraz z datą jego wyprodukowania,</w:t>
            </w:r>
          </w:p>
          <w:p w:rsidR="00EF2612" w:rsidRDefault="0038209B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ilości i sposobu obłożenia slotów pamięciami RAM,</w:t>
            </w:r>
          </w:p>
          <w:p w:rsidR="00EF2612" w:rsidRDefault="0038209B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typie procesora wraz z informacją o ilości rdzeni, wielkości pamięci cache L2 i L3,</w:t>
            </w:r>
          </w:p>
          <w:p w:rsidR="00EF2612" w:rsidRDefault="0038209B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pojemności zainstalowanego dysku twardego</w:t>
            </w:r>
          </w:p>
          <w:p w:rsidR="00EF2612" w:rsidRDefault="0038209B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rodzajach napędów optycznych</w:t>
            </w:r>
          </w:p>
          <w:p w:rsidR="00EF2612" w:rsidRDefault="0038209B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MAC adresie zintegrowanej karty sieciowej</w:t>
            </w:r>
          </w:p>
          <w:p w:rsidR="00EF2612" w:rsidRDefault="0038209B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kontrolerze audio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Dysk twardy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 dysku SSD M.2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PCIe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NVMe</w:t>
            </w:r>
            <w:proofErr w:type="spellEnd"/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Nie mniej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niż 256GB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Prędkość odczytu i zapisu sekwencyjnego minimum 1200 MB/s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Napęd DVD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DVD-RW +/- RW 8x, SATA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Sprzętowy przycisk wysuwania nośnika optycznego na przedniej ścianie urządzenia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Karta Graficzna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Grafika zintegrowana z procesorem powinna umożliwiać pracę z trzema monitorami, ze wsparciem DirectX 12,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OpenGL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4.5, pamięć współdzielona z pamięcią RAM, dynamicznie przydzielana do min. 4GB;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br/>
              <w:t>obsługująca rozdzielczości :</w:t>
            </w:r>
          </w:p>
          <w:p w:rsidR="00EF2612" w:rsidRDefault="0038209B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3840x2160 @ 60Hz (cyfrowo) </w:t>
            </w:r>
          </w:p>
          <w:p w:rsidR="00EF2612" w:rsidRDefault="0038209B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2560x1600 @ 60Hz (cyfrowo) </w:t>
            </w:r>
          </w:p>
          <w:p w:rsidR="00EF2612" w:rsidRDefault="0038209B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4096x2304 @ 60Hz (cyfrowo) </w:t>
            </w:r>
          </w:p>
          <w:p w:rsidR="00EF2612" w:rsidRDefault="0038209B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1920x1080 @ 60Hz (analogowo i cyfrowo) </w:t>
            </w:r>
          </w:p>
          <w:p w:rsidR="00EF2612" w:rsidRDefault="0038209B">
            <w:pPr>
              <w:pStyle w:val="Standard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Oferowana karta graficzna musi osiągać w teście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PassMark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Performance Test co najmniej wynik 1200 punktów w G3D Rating, wynik dostępny na stronie: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>
              <w:bookmarkStart w:id="2" w:name="OLE_LINK3"/>
              <w:bookmarkStart w:id="3" w:name="OLE_LINK2"/>
              <w:bookmarkStart w:id="4" w:name="OLE_LINK1"/>
              <w:r>
                <w:rPr>
                  <w:rStyle w:val="czeinternetowe"/>
                  <w:rFonts w:ascii="Arial" w:hAnsi="Arial" w:cs="Arial"/>
                  <w:sz w:val="18"/>
                  <w:szCs w:val="18"/>
                </w:rPr>
                <w:t>http://www.videocardbenchmark.net/gpu_list.php</w:t>
              </w:r>
            </w:hyperlink>
            <w:bookmarkEnd w:id="2"/>
            <w:bookmarkEnd w:id="3"/>
            <w:bookmarkEnd w:id="4"/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Karta Sieciowa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Karta sieciowa 10/100/1000 Ethernet RJ 45, zintegrowana z płytą główną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 xml:space="preserve">Obsługa protokołu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(funkcja włączana przez użytkownika),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Karta Dźwiękowa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Min. 24-bitowa karta dźwiękowa zintegrowana z płytą główną, zgodna z High Definition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Porty słuchawek i mikrofonu na przednim oraz na tylnym panelu obudowy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Interfejsy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lastRenderedPageBreak/>
              <w:t>min. 2 x DisplayPort v1.2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min. 1 x HDMI 1.4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1x uniwersalne gniazdo audio z przodu obudowy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1x wyjście audio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-out z tyłu obudowy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min. 8 portów USB wyprowadzonych na zewnątrz komputera w tym min 4 porty USB 3.1; min. 4 porty z przodu obudowy w tym 2 porty USB 3.1 i 4 z tyłu w tym 2 porty USB 3.1, wymagana ilość i rozmieszczenie (na zewnątrz obudowy komputera) portów USB nie może być osiągnięta w wyniku stosowania konwerterów, przejściówek itp.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1x M.2 przeznaczone na dysk twardy 22x80mm (obsadzone dyskiem wg specyfikacji)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1x M.2 przeznaczone na kartę sieci bezprzewodowej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1x Half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Height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PCIe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x16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1x Half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Height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PCIe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x1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Obudowa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Małogabarytowa typu small form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factor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(SFF),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umożliwiająca pracę w pionie jak i w poziomie,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 obsługą kart PCI Express wyłącznie o niskim profilu, fabrycznie przystosowana do pracy w układzie pionowym i poziomym wyposażona w min. 2 kieszenie: 1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ODD typu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slim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 1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2,5” wewnętrzne.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Suma wymiarów (szer. x głęb. x wys.) nie większa niż 70 cm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Obudowa w jednostce centralnej otwierana bez konieczności użycia narzędzi (wyklucza się użycie standardowych wkrętów, śrub motylkowych)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Powinna posiadać czujnik otwarcia obudowy współpracujący z oprogramowaniem zarządzająco – diagnostycznym producenta  komputera. Wbudowany w obudowę czujnik otwarcia obudowy, nie może zajmować dostępnych na płycie slotów PCI.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Obudowa musi umożliwiać zastosowanie zabezpieczenia fizycznego w postaci linki metalowej (złącze blokady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Kensington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) lub kłódki (oczko w obudowie do założenia kłódki).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Każdy komputer powinien być oznaczony niepowtarzalnym numerem seryjnym umieszonym na obudowie, oraz musi być wpisany na stałe w BIOS.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Zasilacz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Zasilacz o mocy max. 200W pracujący w sieci 230V 50/60Hz prądu zmiennego, o sprawności 85% (80 Plus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Bronze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), z aktywnym PFC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 zestawie przewód zasilania C13, 230V, 2,5m, europejski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Klawiatura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Klawiatura USB w  układzie QWERTY, amerykańska/międzynarodowa, w kolorze czarnym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Klawiatura numeryczna wyraźnie oddzielona od reszty przycisków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Mysz</w:t>
            </w:r>
          </w:p>
        </w:tc>
      </w:tr>
      <w:tr w:rsidR="00EF2612">
        <w:trPr>
          <w:cantSplit/>
          <w:trHeight w:val="317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Mysz optyczna USB z rolką, w kolorze czarnym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249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Rozdzielczość min. 1000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Trzeci przycisk w pokrętle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System operacyjny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spacing w:line="360" w:lineRule="auto"/>
            </w:pPr>
            <w:r>
              <w:rPr>
                <w:rFonts w:ascii="Arial" w:hAnsi="Arial"/>
                <w:sz w:val="18"/>
                <w:szCs w:val="18"/>
              </w:rPr>
              <w:lastRenderedPageBreak/>
              <w:t>Zainstalowany system operacyjny co najmniej Windows 10 Professional 64 bitowy w polskiej wersji językowej lub system równoważny.</w:t>
            </w:r>
          </w:p>
          <w:p w:rsidR="00EF2612" w:rsidRDefault="0038209B">
            <w:pPr>
              <w:spacing w:line="360" w:lineRule="auto"/>
            </w:pPr>
            <w:r>
              <w:rPr>
                <w:rFonts w:ascii="Arial" w:hAnsi="Arial"/>
                <w:sz w:val="18"/>
                <w:szCs w:val="18"/>
              </w:rPr>
              <w:t xml:space="preserve">Klucz licencyjny systemu musi być zapisany trwale w BIOS i umożliwiać jego instalację bez potrzeby ręcznego wpisywania klucza licencyjnego. </w:t>
            </w:r>
          </w:p>
          <w:p w:rsidR="00EF2612" w:rsidRDefault="0038209B">
            <w:pPr>
              <w:spacing w:line="360" w:lineRule="auto"/>
            </w:pPr>
            <w:r>
              <w:rPr>
                <w:rFonts w:ascii="Arial" w:hAnsi="Arial"/>
                <w:sz w:val="18"/>
                <w:szCs w:val="18"/>
                <w:u w:val="single"/>
              </w:rPr>
              <w:t xml:space="preserve">Zamawiający nie dopuszcza zaoferowania systemu operacyjnego pochodzącego z rynku wtórnego, reaktywowanego systemu. </w:t>
            </w:r>
          </w:p>
          <w:p w:rsidR="00EF2612" w:rsidRDefault="0038209B">
            <w:pPr>
              <w:spacing w:line="360" w:lineRule="auto"/>
            </w:pPr>
            <w:r>
              <w:rPr>
                <w:rFonts w:ascii="Arial" w:hAnsi="Arial"/>
                <w:sz w:val="18"/>
                <w:szCs w:val="18"/>
              </w:rPr>
              <w:t>System równoważny musi spełniać następujące wymagania poprzez wbudowane mechanizmy, bez użycia dodatkowych aplikacji: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Dostępne dwa rodzaje graficznego interfejsu użytkownika:</w:t>
            </w:r>
          </w:p>
          <w:p w:rsidR="00EF2612" w:rsidRDefault="0038209B">
            <w:pPr>
              <w:numPr>
                <w:ilvl w:val="1"/>
                <w:numId w:val="4"/>
              </w:numPr>
              <w:spacing w:line="360" w:lineRule="auto"/>
              <w:ind w:left="825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Klasyczny, umożliwiający obsługę przy pomocy klawiatury i myszy,</w:t>
            </w:r>
          </w:p>
          <w:p w:rsidR="00EF2612" w:rsidRDefault="0038209B">
            <w:pPr>
              <w:numPr>
                <w:ilvl w:val="1"/>
                <w:numId w:val="4"/>
              </w:numPr>
              <w:spacing w:line="360" w:lineRule="auto"/>
              <w:ind w:left="825" w:hanging="36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Dotykowy umożliwiający sterowanie dotykiem na urządzeniach typu tablet lub monitorach dotykowych.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Interfejsy użytkownika dostępne w wielu językach do wyboru – w tym polskim i angielskim.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Zlokalizowane w języku polskim, co najmniej następujące elementy: menu, odtwarzacz multimediów, pomoc, komunikaty systemowe. 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Wbudowany system pomocy w języku polskim.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Graficzne środowisko instalacji i konfiguracji dostępne w języku polskim.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Funkcje związane z obsługą komputerów typu tablet, z wbudowanym modułem „uczenia się” pisma użytkownika – obsługa języka polskiego.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Funkcjonalność rozpoznawania mowy, pozwalającą na sterowanie komputerem głosowo, wraz z modułem „uczenia się” głosu użytkownika.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Możliwość dokonywania bezpłatnych aktualizacji i poprawek w ramach wersji systemu operacyjnego poprzez Internet, mechanizmem udostępnianym przez producenta systemu z możliwością wyboru instalowanych poprawek oraz mechanizmem sprawdzającym, które </w:t>
            </w:r>
            <w:r>
              <w:rPr>
                <w:rFonts w:ascii="Arial" w:hAnsi="Arial"/>
                <w:sz w:val="18"/>
                <w:szCs w:val="18"/>
              </w:rPr>
              <w:br/>
              <w:t>z poprawek są potrzebne.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dokonywania aktualizacji i poprawek systemu poprzez mechanizm zarządzany przez administratora systemu Zamawiającego.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Dostępność bezpłatnych biuletynów bezpieczeństwa związanych </w:t>
            </w:r>
            <w:r>
              <w:rPr>
                <w:rFonts w:ascii="Arial" w:hAnsi="Arial"/>
                <w:sz w:val="18"/>
                <w:szCs w:val="18"/>
              </w:rPr>
              <w:br/>
              <w:t>z działaniem systemu operacyjnego.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Wbudowana zapora internetowa (firewall) dla ochrony połączeń internetowych; zintegrowana z systemem konsola do zarządzania ustawieniami zapory i regułami IP v4 i v6. 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Wbudowane mechanizmy ochrony antywirusowej i przeciw złośliwemu oprogramowaniu z zapewnionymi bezpłatnymi aktualizacjami.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Plug&amp;Play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, Wi-Fi).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Funkcjonalność automatycznej zmiany domyślnej drukarki w zależności od sieci, do której podłączony jest komputer.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zarządzania stacją roboczą poprzez polityki grupowe – przez politykę rozumiemy zestaw reguł definiujących lub ograniczających funkcjonalność systemu lub aplikacji.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Rozbudowane, definiowalne polityki bezpieczeństwa – polityki dla systemu operacyjnego i dla wskazanych aplikacji.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Możliwość zdalnej automatycznej instalacji, konfiguracji, administrowania oraz aktualizowania systemu, zgodnie z określonymi uprawnieniami poprzez polityki grupowe.   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Zabezpieczony hasłem hierarchiczny dostęp do systemu, konta i profile użytkowników zarządzane zdalnie; praca systemu w trybie ochrony kont użytkowników.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Mechanizm pozwalający użytkownikowi zarejestrowanego w systemie przedsiębiorstwa/instytucji urządzenia na uprawniony dostęp do zasobów tego systemu.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Zintegrowany z systemem operacyjnym moduł synchronizacji komputera </w:t>
            </w:r>
            <w:r>
              <w:rPr>
                <w:rFonts w:ascii="Arial" w:hAnsi="Arial"/>
                <w:sz w:val="18"/>
                <w:szCs w:val="18"/>
              </w:rPr>
              <w:br/>
              <w:t xml:space="preserve">z urządzeniami zewnętrznymi.  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Obsługa 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/>
              </w:rPr>
              <w:t>standardu</w:t>
            </w:r>
            <w:proofErr w:type="spellEnd"/>
            <w:r>
              <w:rPr>
                <w:rFonts w:ascii="Arial" w:hAnsi="Arial"/>
                <w:sz w:val="18"/>
                <w:szCs w:val="18"/>
                <w:lang w:val="en-US"/>
              </w:rPr>
              <w:t xml:space="preserve"> NFC (near field communication).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Możliwość przystosowania stanowiska dla osób niepełnosprawnych (np. słabo widzących). 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dla IPSEC oparte na politykach – wdrażanie IPSEC oparte na zestawach reguł definiujących ustawienia zarządzanych w sposób centralny.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Automatyczne występowanie i używanie (wystawianie) certyfikatów PKI X.509.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Mechanizmy logowania do domeny w oparciu o:</w:t>
            </w:r>
          </w:p>
          <w:p w:rsidR="00EF2612" w:rsidRDefault="0038209B">
            <w:pPr>
              <w:numPr>
                <w:ilvl w:val="1"/>
                <w:numId w:val="4"/>
              </w:numPr>
              <w:spacing w:line="360" w:lineRule="auto"/>
              <w:ind w:left="683" w:hanging="284"/>
              <w:contextualSpacing/>
            </w:pPr>
            <w:r>
              <w:rPr>
                <w:rFonts w:ascii="Arial" w:hAnsi="Arial"/>
                <w:sz w:val="18"/>
                <w:szCs w:val="18"/>
              </w:rPr>
              <w:t>Login i hasło,</w:t>
            </w:r>
          </w:p>
          <w:p w:rsidR="00EF2612" w:rsidRDefault="0038209B">
            <w:pPr>
              <w:numPr>
                <w:ilvl w:val="1"/>
                <w:numId w:val="4"/>
              </w:numPr>
              <w:spacing w:line="360" w:lineRule="auto"/>
              <w:ind w:left="683" w:hanging="284"/>
              <w:contextualSpacing/>
            </w:pPr>
            <w:r>
              <w:rPr>
                <w:rFonts w:ascii="Arial" w:hAnsi="Arial"/>
                <w:sz w:val="18"/>
                <w:szCs w:val="18"/>
              </w:rPr>
              <w:t>Karty z certyfikatami 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smartcard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),</w:t>
            </w:r>
          </w:p>
          <w:p w:rsidR="00EF2612" w:rsidRDefault="0038209B">
            <w:pPr>
              <w:numPr>
                <w:ilvl w:val="1"/>
                <w:numId w:val="4"/>
              </w:numPr>
              <w:spacing w:line="360" w:lineRule="auto"/>
              <w:ind w:left="683" w:hanging="284"/>
              <w:contextualSpacing/>
            </w:pPr>
            <w:r>
              <w:rPr>
                <w:rFonts w:ascii="Arial" w:hAnsi="Arial"/>
                <w:sz w:val="18"/>
                <w:szCs w:val="18"/>
              </w:rPr>
              <w:t>Wirtualne karty (logowanie w oparciu o certyfikat chroniony poprzez moduł TPM).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Mechanizmy wieloelementowego uwierzytelniania.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Wsparcie dla uwierzytelniania na bazie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Kerberos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v. 5.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do uwierzytelnienia urządzenia na bazie certyfikatu.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dla algorytmów Suite B (RFC 4869).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Wsparcie wbudowanej zapory ogniowej dla Internet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Key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Exchange v. 2 (IKEv2) dla warstwy transportowej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IPsec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Wbudowane narzędzia służące do administracji, do wykonywania kopii zapasowych polityk i ich odtwarzania oraz generowania raportów </w:t>
            </w:r>
            <w:r>
              <w:rPr>
                <w:rFonts w:ascii="Arial" w:hAnsi="Arial"/>
                <w:sz w:val="18"/>
                <w:szCs w:val="18"/>
              </w:rPr>
              <w:br/>
              <w:t>z ustawień polityk.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dla środowisk Java i .NET Framework 4.x – możliwość uruchomienia aplikacji działających we wskazanych środowiskach.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Wsparcie dla JScript i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VBScript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– możliwość uruchamiania interpretera poleceń.</w:t>
            </w:r>
          </w:p>
          <w:p w:rsidR="00EF2612" w:rsidRDefault="00EF2612">
            <w:pPr>
              <w:spacing w:line="360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lastRenderedPageBreak/>
              <w:t xml:space="preserve">Zdalna pomoc i współdzielenie aplikacji – możliwość zdalnego przejęcia sesji zalogowanego użytkownika celem rozwiązania problemu </w:t>
            </w:r>
            <w:r>
              <w:rPr>
                <w:rFonts w:ascii="Arial" w:hAnsi="Arial"/>
                <w:sz w:val="18"/>
                <w:szCs w:val="18"/>
              </w:rPr>
              <w:br/>
              <w:t>z komputerem,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Rozwiązanie służące do automatycznego zbudowania obrazu systemu wraz z aplikacjami. Obraz systemu służyć ma do automatycznego upowszechnienia systemu operacyjnego inicjowanego i wykonywanego </w:t>
            </w:r>
            <w:r>
              <w:rPr>
                <w:rFonts w:ascii="Arial" w:hAnsi="Arial"/>
                <w:sz w:val="18"/>
                <w:szCs w:val="18"/>
              </w:rPr>
              <w:br/>
              <w:t>w całości poprzez sieć komputerową.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Rozwiązanie umożliwiające wdrożenie nowego obrazu poprzez zdalną instalację.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Transakcyjny system plików pozwalający na stosowanie przydziałów (ang.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quota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 na dysku dla użytkowników oraz zapewniający większą niezawodność i pozwalający tworzyć kopie zapasowe.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Zarządzanie kontami użytkowników sieci oraz urządzeniami sieciowymi tj. drukarki, modemy, woluminy dyskowe, usługi katalogowe.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Udostępnianie modemu.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Oprogramowanie dla tworzenia kopii zapasowych (Backup); automatyczne wykonywanie kopii plików z możliwością automatycznego przywrócenia wersji wcześniejszej.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przywracania obrazu plików systemowych do uprzednio zapisanej postaci.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blokowania lub dopuszczania dowolnych urządzeń peryferyjnych za pomocą polityk grupowych (np. przy użyciu numerów identyfikacyjnych sprzętu).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Wbudowany mechanizm wirtualizacji typu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hypervisor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, umożliwiający, zgodnie z uprawnieniami licencyjnymi, uruchomienie do 4 maszyn wirtualnych.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Mechanizm szyfrowania dysków wewnętrznych i zewnętrznych </w:t>
            </w:r>
            <w:r>
              <w:rPr>
                <w:rFonts w:ascii="Arial" w:hAnsi="Arial"/>
                <w:sz w:val="18"/>
                <w:szCs w:val="18"/>
              </w:rPr>
              <w:br/>
              <w:t>z możliwością szyfrowania ograniczonego do danych użytkownika.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Wbudowane w system narzędzie do szyfrowania partycji systemowych komputera, z możliwością przechowywania certyfikatów w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mikrochipie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TPM 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Trusted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Platform Module) w wersji minimum 2.0 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Wbudowane w system narzędzie do szyfrowania dysków przenośnych, </w:t>
            </w:r>
            <w:r>
              <w:rPr>
                <w:rFonts w:ascii="Arial" w:hAnsi="Arial"/>
                <w:sz w:val="18"/>
                <w:szCs w:val="18"/>
              </w:rPr>
              <w:br/>
              <w:t>z możliwością centralnego zarządzania poprzez polityki grupowe, pozwalające na wymuszenie szyfrowania dysków przenośnych.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tworzenia i przechowywania kopii zapasowych kluczy odzyskiwania do szyfrowania partycji w usługach katalogowych.</w:t>
            </w:r>
          </w:p>
          <w:p w:rsidR="00EF2612" w:rsidRDefault="0038209B">
            <w:pPr>
              <w:spacing w:after="15" w:line="360" w:lineRule="auto"/>
            </w:pPr>
            <w:r>
              <w:rPr>
                <w:rFonts w:ascii="Arial" w:hAnsi="Arial"/>
                <w:sz w:val="18"/>
                <w:szCs w:val="18"/>
              </w:rPr>
              <w:t xml:space="preserve">Możliwość instalowania dodatkowych języków interfejsu systemu operacyjnego oraz możliwość zmiany języka bez konieczności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reinstalacji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systemu.</w:t>
            </w:r>
          </w:p>
        </w:tc>
        <w:tc>
          <w:tcPr>
            <w:tcW w:w="220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Certyfikacja komputera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Zgodność z normą CE – PN-EN 41003:2012 lub równoważną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TCO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certyfikat dostępny na stronie https://tcocertified.com/product-finder/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bookmarkStart w:id="5" w:name="__DdeLink__10283_550405327"/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  <w:bookmarkEnd w:id="5"/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Głośność jednostki centralnej mierzona zgodnie z normą ISO 7779 oraz wykazana zgodnie z normą ISO 9296 w pozycji obserwatora w trybie pracy dysku twardego (IDLE) wynosząca maksymalnie 22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dB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(dołączyć do oferty oświadczenie producenta)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D9D9D9" w:themeFill="background1" w:themeFillShade="D9"/>
            <w:vAlign w:val="center"/>
          </w:tcPr>
          <w:p w:rsidR="00EF2612" w:rsidRDefault="0038209B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Monitor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Przekątna wyświetlanego obrazu nie mniejsza niż 60,45 cm (23,8 cala)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Współczynnik proporcji 16:9,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Częstotliwości odświeżania minimum 60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przy Rozdzielczości 1920 x 1080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Technologia IPS z podświetleniem LED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Czas reakcji matrycy max. 8 ms (od szarego do szarego)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Jasność minimum 250 cd/m2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Kontrast 1000:1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Wielkość plamki max. 0.275 mm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Częstotliwość odświeżania min. 60Hz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Posiada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porty przynajmniej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1x DisplayPort (ver. 1.2);  1x VGA; 1x port HDMI 1.4; </w:t>
            </w:r>
            <w:bookmarkStart w:id="6" w:name="OLE_LINK7"/>
            <w:bookmarkStart w:id="7" w:name="OLE_LINK6"/>
            <w:r>
              <w:rPr>
                <w:rFonts w:ascii="Arial" w:hAnsi="Arial" w:cs="Arial"/>
                <w:sz w:val="18"/>
                <w:szCs w:val="18"/>
                <w:lang w:val="en-US"/>
              </w:rPr>
              <w:t>USB 3.0</w:t>
            </w:r>
            <w:bookmarkEnd w:id="6"/>
            <w:bookmarkEnd w:id="7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do </w:t>
            </w:r>
            <w:r>
              <w:rPr>
                <w:rFonts w:ascii="Arial" w:hAnsi="Arial" w:cs="Arial"/>
                <w:sz w:val="18"/>
                <w:szCs w:val="18"/>
              </w:rPr>
              <w:t>wysyłania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danych; 2 porty USB 3.0 z boku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Kąty widzenia nie mniejsze niż 178° w pionie i 178° w poziomie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Możliwość regulacji pod względem wysokości i pochylenia, obrotowa podstawa 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Zasilanie z sieci 230V AC, 50Hz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Pobór mocy podczas pracy 30 W (standardowo); 45 W (maksymalnie)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Pobór mocy w trybie gotowości i uśpienia: poniżej 0,5 W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zestawie:</w:t>
            </w:r>
          </w:p>
          <w:p w:rsidR="00EF2612" w:rsidRDefault="0038209B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- 1x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przewód zasilający, europejski</w:t>
            </w:r>
          </w:p>
          <w:p w:rsidR="00EF2612" w:rsidRDefault="0038209B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- 1x kabel DP-DP</w:t>
            </w:r>
          </w:p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- 1x kabel USB 3.0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Maksymalna ilość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sub-pixeli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sub-pixele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zablokowane w pozycji włączonej: 2</w:t>
            </w:r>
          </w:p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sub-pixele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zablokowane w pozycji wyłączonej: 5</w:t>
            </w:r>
          </w:p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przypadku większej ilości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-pikseli monitor podlega darmowej wymianie na gwarancji na egzemplarz wolny od takiej wady.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Gwarancja i serwis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Gwarancja obejmuje wszystkie części zestawu komputerowego przez okres 36 miesięcy od daty dostarczenia do Zamawiającego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Czas reakcji serwisu – do końca następnego dnia roboczego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serwisująca musi posiadać ISO 9001:2000 lub równoważne na świadczenie usług serwisowych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Możliwość weryfikacji czasu obowiązywania i reżimu gwarancji bezpośrednio z sieci Internet za pośrednictwem strony www producenta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Zamawiający ma prawo oddać komputer do naprawy gwarancyjnej bez dysku twardego. W przypadku awarii dysku twardego Zamawiającemu przysługuje prawo do otrzymania nowego dysku bez konieczności jego wymiany po stwierdzeniu jego awarii wskazanym przez producenta programem diagnostycznym.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Serwis urządzeń musi być realizowany przez Producenta lub Autoryzowanego Partnera Serwisowego Producenta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Telefoniczna infolinia/linia techniczna producenta komputera, dostępna w czasie obowiązywania gwarancji na sprzęt i umożliwiająca po podaniu numeru seryjnego urządzenia: weryfikację konfiguracji fabrycznej wraz z wersją fabrycznie dostarczonego oprogramowania (system operacyjny, szczegółowa konfiguracja sprzętowa – CPU, HDD, RAM), czasu obowiązywania i typ udzielonej gwarancji.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aktualizacji i pobrania sterowników do oferowanego modelu komputera w najnowszych certyfikowanych wersjach bezpośrednio z sieci Internet za pośrednictwem strony www producenta komputera po podaniu numeru seryjnego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Sprzęt należy dostarczyć do siedziby Zamawiającego, w formie skompletowanej i skonfigurowanej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F2612" w:rsidRDefault="00EF2612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EF2612" w:rsidRDefault="00EF2612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EF2612" w:rsidRDefault="0038209B">
      <w:pPr>
        <w:pStyle w:val="Standard"/>
        <w:ind w:left="357"/>
        <w:jc w:val="center"/>
        <w:rPr>
          <w:rFonts w:ascii="Arial" w:hAnsi="Arial" w:cs="Arial"/>
          <w:bCs/>
          <w:i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t>ZESTAW KOMPUTEROWY – TYP 2 – 15 sztuk</w:t>
      </w:r>
      <w:r>
        <w:rPr>
          <w:rFonts w:ascii="Arial" w:hAnsi="Arial" w:cs="Arial"/>
          <w:b/>
          <w:bCs/>
          <w:iCs/>
          <w:sz w:val="22"/>
          <w:szCs w:val="22"/>
          <w:u w:val="single"/>
          <w:lang w:eastAsia="ar-SA"/>
        </w:rPr>
        <w:br/>
      </w:r>
      <w:r>
        <w:rPr>
          <w:rFonts w:ascii="Arial" w:hAnsi="Arial" w:cs="Arial"/>
          <w:bCs/>
          <w:iCs/>
          <w:sz w:val="22"/>
          <w:szCs w:val="22"/>
          <w:lang w:eastAsia="ar-SA"/>
        </w:rPr>
        <w:t>(typ 1 z 2xRS232)</w:t>
      </w:r>
    </w:p>
    <w:p w:rsidR="00EF2612" w:rsidRDefault="00EF2612">
      <w:pPr>
        <w:pStyle w:val="Standard"/>
        <w:jc w:val="center"/>
        <w:rPr>
          <w:rFonts w:ascii="Arial" w:hAnsi="Arial" w:cs="Arial"/>
          <w:sz w:val="20"/>
          <w:szCs w:val="20"/>
          <w:u w:val="single"/>
        </w:rPr>
      </w:pPr>
    </w:p>
    <w:p w:rsidR="00EF2612" w:rsidRDefault="00EF2612">
      <w:pPr>
        <w:pStyle w:val="Standard"/>
        <w:jc w:val="center"/>
        <w:rPr>
          <w:rFonts w:ascii="Arial" w:hAnsi="Arial" w:cs="Arial"/>
          <w:sz w:val="20"/>
          <w:szCs w:val="20"/>
        </w:rPr>
      </w:pPr>
    </w:p>
    <w:p w:rsidR="00EF2612" w:rsidRDefault="0038209B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urządzenia (typ/producent): ...............................................................................................................</w:t>
      </w:r>
    </w:p>
    <w:p w:rsidR="00EF2612" w:rsidRDefault="00EF2612">
      <w:pPr>
        <w:pStyle w:val="Standard"/>
        <w:jc w:val="both"/>
        <w:rPr>
          <w:rFonts w:ascii="Arial" w:hAnsi="Arial" w:cs="Arial"/>
        </w:rPr>
      </w:pPr>
    </w:p>
    <w:tbl>
      <w:tblPr>
        <w:tblW w:w="9317" w:type="dxa"/>
        <w:jc w:val="center"/>
        <w:tblBorders>
          <w:top w:val="double" w:sz="2" w:space="0" w:color="000001"/>
          <w:left w:val="double" w:sz="2" w:space="0" w:color="000001"/>
          <w:bottom w:val="single" w:sz="4" w:space="0" w:color="000001"/>
          <w:insideH w:val="single" w:sz="4" w:space="0" w:color="000001"/>
        </w:tblBorders>
        <w:tblCellMar>
          <w:left w:w="99" w:type="dxa"/>
        </w:tblCellMar>
        <w:tblLook w:val="04A0" w:firstRow="1" w:lastRow="0" w:firstColumn="1" w:lastColumn="0" w:noHBand="0" w:noVBand="1"/>
      </w:tblPr>
      <w:tblGrid>
        <w:gridCol w:w="4910"/>
        <w:gridCol w:w="2204"/>
        <w:gridCol w:w="2203"/>
      </w:tblGrid>
      <w:tr w:rsidR="00EF2612" w:rsidTr="006C22A4">
        <w:trPr>
          <w:cantSplit/>
          <w:trHeight w:val="584"/>
          <w:tblHeader/>
          <w:jc w:val="center"/>
        </w:trPr>
        <w:tc>
          <w:tcPr>
            <w:tcW w:w="4910" w:type="dxa"/>
            <w:tcBorders>
              <w:top w:val="double" w:sz="2" w:space="0" w:color="000001"/>
              <w:left w:val="double" w:sz="2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Parametry progowe</w:t>
            </w:r>
          </w:p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(minimalne wymagania)</w:t>
            </w:r>
          </w:p>
        </w:tc>
        <w:tc>
          <w:tcPr>
            <w:tcW w:w="2204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ODPOWIEDŻ WYMAGANA</w:t>
            </w:r>
          </w:p>
        </w:tc>
        <w:tc>
          <w:tcPr>
            <w:tcW w:w="2203" w:type="dxa"/>
            <w:tcBorders>
              <w:top w:val="double" w:sz="2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F2F2F2" w:themeFill="background1" w:themeFillShade="F2"/>
            <w:vAlign w:val="center"/>
          </w:tcPr>
          <w:p w:rsidR="00EF2612" w:rsidRDefault="0038209B">
            <w:pPr>
              <w:pStyle w:val="Standard"/>
              <w:jc w:val="center"/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ODPOWIEDŹ WYKONAWCY </w:t>
            </w:r>
            <w:r>
              <w:rPr>
                <w:rFonts w:ascii="Arial" w:hAnsi="Arial" w:cs="Arial"/>
                <w:b/>
                <w:sz w:val="18"/>
                <w:szCs w:val="18"/>
              </w:rPr>
              <w:t>*)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Dane produktu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Producent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 monitora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produkcji (urządzenie nie może być wyprodukowane wcześniej niż 1 rok od terminu składania ofert)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Procesor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Procesor w architekturze x86_64, 6-rdzeniowy, o bazowym taktowaniu nie mniejszym niż 3GHz, min. 9MB cache, ze zintegrowaną grafiką, TDP maks. 65W, , ze sprzętowym wsparciem wirtualizacji (VT-x lub AMD-V), osiągający w teście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PassMark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CPU Mark dostępnym na stronie https://www.cpubenchmark.net/cpu_list.php wynik nie mniejszy niż 11895 punktów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TAK, Podać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RAM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1x8GB UDIMM DDR4 2666 MHz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Płyta główna i funkcje BIOS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Płyta główna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zaprojektowana i wyprodukowana na zlecenie producenta komputera, dedykowana dla danego urządzenia.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Sprzętowe wsparcie technologii wirtualizacji realizowane łącznie w procesorze, chipsecie płyty głównej oraz w BIOS systemu (możliwość włączenia/wyłączenia sprzętowego wsparcia wirtualizacji dla poszczególnych komponentów systemu).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Zintegrowany kontroler SATA III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Min. 2 złącza DDR4/UDIMM z obsługą do 32GB pamięci RAM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Musi posiadać możliwość ustawienia zależności pomiędzy hasłem administratora a hasłem systemowy tak, aby nie było możliwe wprowadzenie zmian w BIOS wyłącznie po podaniu hasła systemowego. Funkcja ta ma wymuszać podanie hasła administratora przy próbie zmiany ustawień BIOS w sytuacji, gdy zostało podane hasło systemowe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Możliwość ustawienia portów USB w trybie „no BOOT”, czyli podczas startu komputer nie wykrywa urządzeń typu USB, natomiast po uruchomieniu systemu operacyjnego porty USB są aktywne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Kontrola czujnika otwarcia obudowy i funkcja zapisania incydentu otwarcia obudowy w BIOS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Możliwość wyłączenia portów USB na przednim panelu obudowy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Możliwość, bez uruchamiania systemu operacyjnego z dysku twardego komputera lub innych podłączonych do niego urządzeń zewnętrznych odczytania z BIOS informacji o:</w:t>
            </w:r>
          </w:p>
          <w:p w:rsidR="00EF2612" w:rsidRDefault="0038209B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wersji BIOS,</w:t>
            </w:r>
          </w:p>
          <w:p w:rsidR="00EF2612" w:rsidRDefault="0038209B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nr seryjnym komputera wraz z datą jego wyprodukowania,</w:t>
            </w:r>
          </w:p>
          <w:p w:rsidR="00EF2612" w:rsidRDefault="0038209B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ilości i sposobu obłożenia slotów pamięciami RAM,</w:t>
            </w:r>
          </w:p>
          <w:p w:rsidR="00EF2612" w:rsidRDefault="0038209B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typie procesora wraz z informacją o ilości rdzeni, wielkości pamięci cache L2 i L3,</w:t>
            </w:r>
          </w:p>
          <w:p w:rsidR="00EF2612" w:rsidRDefault="0038209B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pojemności zainstalowanego dysku twardego</w:t>
            </w:r>
          </w:p>
          <w:p w:rsidR="00EF2612" w:rsidRDefault="0038209B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rodzajach napędów optycznych</w:t>
            </w:r>
          </w:p>
          <w:p w:rsidR="00EF2612" w:rsidRDefault="0038209B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MAC adresie zintegrowanej karty sieciowej</w:t>
            </w:r>
          </w:p>
          <w:p w:rsidR="00EF2612" w:rsidRDefault="0038209B">
            <w:pPr>
              <w:pStyle w:val="Standard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kontrolerze audio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Dysk twardy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 dysku SSD M.2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PCIe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NVMe</w:t>
            </w:r>
            <w:proofErr w:type="spellEnd"/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Nie mniej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niż 256GB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Prędkość odczytu i zapisu sekwencyjnego minimum 1200 MB/s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Napęd DVD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DVD-RW +/- RW 8x, SATA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Sprzętowy przycisk wysuwania nośnika optycznego na przedniej ścianie urządzenia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Karta Graficzna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Grafika zintegrowana z procesorem powinna umożliwiać pracę z trzema monitorami, ze wsparciem DirectX 12,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OpenGL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 4.5, pamięć współdzielona z pamięcią RAM, dynamicznie przydzielana do min. 4GB;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br/>
              <w:t>obsługująca rozdzielczości :</w:t>
            </w:r>
          </w:p>
          <w:p w:rsidR="00EF2612" w:rsidRDefault="0038209B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3840x2160 @ 60Hz (cyfrowo) </w:t>
            </w:r>
          </w:p>
          <w:p w:rsidR="00EF2612" w:rsidRDefault="0038209B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2560x1600 @ 60Hz (cyfrowo) </w:t>
            </w:r>
          </w:p>
          <w:p w:rsidR="00EF2612" w:rsidRDefault="0038209B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4096x2304 @ 60Hz (cyfrowo) </w:t>
            </w:r>
          </w:p>
          <w:p w:rsidR="00EF2612" w:rsidRDefault="0038209B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 xml:space="preserve">1920x1080 @ 60Hz (analogowo i cyfrowo) </w:t>
            </w:r>
          </w:p>
          <w:p w:rsidR="00EF2612" w:rsidRDefault="0038209B">
            <w:pPr>
              <w:pStyle w:val="Standard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Oferowana karta graficzna musi osiągać w teście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PassMark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Performance Test co najmniej wynik 1200 punktów w G3D Rating, wynik dostępny na stronie: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>
              <w:r>
                <w:rPr>
                  <w:rStyle w:val="czeinternetowe"/>
                  <w:rFonts w:ascii="Arial" w:hAnsi="Arial" w:cs="Arial"/>
                  <w:sz w:val="18"/>
                  <w:szCs w:val="18"/>
                </w:rPr>
                <w:t>http://www.videocardbenchmark.net/gpu_list.php</w:t>
              </w:r>
            </w:hyperlink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Karta Sieciowa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Karta sieciowa 10/100/1000 Ethernet RJ 45, zintegrowana z płytą główną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 xml:space="preserve">Obsługa protokołu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(funkcja włączana przez użytkownika),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Karta Dźwiękowa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Min. 24-bitowa karta dźwiękowa zintegrowana z płytą główną, zgodna z High Definition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Porty słuchawek i mikrofonu na przednim oraz na tylnym panelu obudowy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Interfejsy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min. 2 x DisplayPort v1.2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en-US"/>
              </w:rPr>
              <w:t>min. 1 x HDMI 1.4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1x uniwersalne gniazdo audio z przodu obudowy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1x wyjście audio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-out z tyłu obudowy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min. 8 portów USB wyprowadzonych na zewnątrz komputera w tym min 4 porty USB 3.1; min. 4 porty z przodu obudowy w tym 2 porty USB 3.1 i 4 z tyłu w tym 2 porty USB 3.1, wymagana ilość i rozmieszczenie (na zewnątrz obudowy komputera) portów USB nie może być osiągnięta w wyniku stosowania konwerterów, przejściówek itp.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1x M.2 przeznaczone na dysk twardy 22x80mm (obsadzone dyskiem wg specyfikacji)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1x M.2 przeznaczone na kartę sieci bezprzewodowej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1x Half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Height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PCIe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x16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1x Half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Height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PCIe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x1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2x RS232 wyprowadzone na zewnątrz, z tyłu obudowy</w:t>
            </w:r>
          </w:p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- dopuszczalne jest zastosowanie karty rozszerzeń w slocie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PCIe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x1</w:t>
            </w:r>
          </w:p>
          <w:p w:rsidR="00EF2612" w:rsidRDefault="0038209B">
            <w:pPr>
              <w:pStyle w:val="Standard"/>
              <w:tabs>
                <w:tab w:val="center" w:pos="2514"/>
              </w:tabs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- sterowniki do obsługi portów muszą być automatycznie instalowane przez zainstalowany system operacyjny lub należy dołączyć do zestawu nośnik ze sterownikami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Obudowa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Małogabarytowa typu small form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factor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(SFF),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umożliwiająca pracę w pionie jak i w poziomie,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z obsługą kart PCI Express wyłącznie o niskim profilu, fabrycznie przystosowana do pracy w układzie pionowym i poziomym wyposażona w min. 2 kieszenie: 1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ODD typu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slim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i 1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szt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2,5” wewnętrzne.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Suma wymiarów (szer. x głęb. x wys.) nie większa niż 70 cm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Obudowa w jednostce centralnej otwierana bez konieczności użycia narzędzi (wyklucza się użycie standardowych wkrętów, śrub motylkowych)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Powinna posiadać czujnik otwarcia obudowy współpracujący z oprogramowaniem zarządzająco – diagnostycznym producenta  komputera. Wbudowany w obudowę czujnik otwarcia obudowy, nie może zajmować dostępnych na płycie slotów PCI.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Obudowa musi umożliwiać zastosowanie zabezpieczenia fizycznego w postaci linki metalowej (złącze blokady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Kensington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) lub kłódki (oczko w obudowie do założenia kłódki).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Każdy komputer powinien być oznaczony niepowtarzalnym numerem seryjnym umieszonym na obudowie, oraz musi być wpisany na stałe w BIOS.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Zasilacz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Zasilacz o mocy max. 200W pracujący w sieci 230V 50/60Hz prądu zmiennego, o sprawności 85% (80 Plus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Bronze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), z aktywnym PFC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 zestawie przewód zasilania C13, 230V, 2,5m, europejski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Klawiatura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Klawiatura USB w  układzie QWERTY, amerykańska/międzynarodowa, w kolorze czarnym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Klawiatura numeryczna wyraźnie oddzielona od reszty przycisków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Mysz</w:t>
            </w:r>
          </w:p>
        </w:tc>
      </w:tr>
      <w:tr w:rsidR="00EF2612">
        <w:trPr>
          <w:cantSplit/>
          <w:trHeight w:val="317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Mysz optyczna USB z rolką, w kolorze czarnym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249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Rozdzielczość min. 1000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Trzeci przycisk w pokrętle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System operacyjny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spacing w:line="360" w:lineRule="auto"/>
            </w:pPr>
            <w:r>
              <w:rPr>
                <w:rFonts w:ascii="Arial" w:hAnsi="Arial"/>
                <w:sz w:val="18"/>
                <w:szCs w:val="18"/>
              </w:rPr>
              <w:lastRenderedPageBreak/>
              <w:t>Zainstalowany system operacyjny co najmniej Windows 10 Professional 64 bitowy w polskiej wersji językowej lub system równoważny.</w:t>
            </w:r>
          </w:p>
          <w:p w:rsidR="00EF2612" w:rsidRDefault="0038209B">
            <w:pPr>
              <w:spacing w:line="360" w:lineRule="auto"/>
            </w:pPr>
            <w:r>
              <w:rPr>
                <w:rFonts w:ascii="Arial" w:hAnsi="Arial"/>
                <w:sz w:val="18"/>
                <w:szCs w:val="18"/>
              </w:rPr>
              <w:t xml:space="preserve">Klucz licencyjny systemu musi być zapisany trwale w BIOS i umożliwiać jego instalację bez potrzeby ręcznego wpisywania klucza licencyjnego. </w:t>
            </w:r>
          </w:p>
          <w:p w:rsidR="00EF2612" w:rsidRDefault="0038209B">
            <w:pPr>
              <w:spacing w:line="360" w:lineRule="auto"/>
            </w:pPr>
            <w:r>
              <w:rPr>
                <w:rFonts w:ascii="Arial" w:hAnsi="Arial"/>
                <w:sz w:val="18"/>
                <w:szCs w:val="18"/>
                <w:u w:val="single"/>
              </w:rPr>
              <w:t xml:space="preserve">Zamawiający nie dopuszcza zaoferowania systemu operacyjnego pochodzącego z rynku wtórnego, reaktywowanego systemu. </w:t>
            </w:r>
          </w:p>
          <w:p w:rsidR="00EF2612" w:rsidRDefault="0038209B">
            <w:pPr>
              <w:spacing w:line="360" w:lineRule="auto"/>
            </w:pPr>
            <w:r>
              <w:rPr>
                <w:rFonts w:ascii="Arial" w:hAnsi="Arial"/>
                <w:sz w:val="18"/>
                <w:szCs w:val="18"/>
              </w:rPr>
              <w:t>System równoważny musi spełniać następujące wymagania poprzez wbudowane mechanizmy, bez użycia dodatkowych aplikacji: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Dostępne dwa rodzaje graficznego interfejsu użytkownika:</w:t>
            </w:r>
          </w:p>
          <w:p w:rsidR="00EF2612" w:rsidRDefault="0038209B">
            <w:pPr>
              <w:numPr>
                <w:ilvl w:val="1"/>
                <w:numId w:val="4"/>
              </w:numPr>
              <w:spacing w:line="360" w:lineRule="auto"/>
              <w:ind w:left="825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Klasyczny, umożliwiający obsługę przy pomocy klawiatury i myszy,</w:t>
            </w:r>
          </w:p>
          <w:p w:rsidR="00EF2612" w:rsidRDefault="0038209B">
            <w:pPr>
              <w:numPr>
                <w:ilvl w:val="1"/>
                <w:numId w:val="4"/>
              </w:numPr>
              <w:spacing w:line="360" w:lineRule="auto"/>
              <w:ind w:left="825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Dotykowy umożliwiający sterowanie dotykiem na urządzeniach typu tablet lub monitorach dotykowych.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Interfejsy użytkownika dostępne w wielu językach do wyboru – w tym polskim i angielskim.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Zlokalizowane w języku polskim, co najmniej następujące elementy: menu, odtwarzacz multimediów, pomoc, komunikaty systemowe. 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Wbudowany system pomocy w języku polskim.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Graficzne środowisko instalacji i konfiguracji dostępne w języku polskim.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Funkcje związane z obsługą komputerów typu tablet, z wbudowanym modułem „uczenia się” pisma użytkownika – obsługa języka polskiego.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Funkcjonalność rozpoznawania mowy, pozwalającą na sterowanie komputerem głosowo, wraz z modułem „uczenia się” głosu użytkownika.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Możliwość dokonywania bezpłatnych aktualizacji i poprawek w ramach wersji systemu operacyjnego poprzez Internet, mechanizmem udostępnianym przez producenta systemu z możliwością wyboru instalowanych poprawek oraz mechanizmem sprawdzającym, które </w:t>
            </w:r>
            <w:r>
              <w:rPr>
                <w:rFonts w:ascii="Arial" w:hAnsi="Arial"/>
                <w:sz w:val="18"/>
                <w:szCs w:val="18"/>
              </w:rPr>
              <w:br/>
              <w:t>z poprawek są potrzebne.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dokonywania aktualizacji i poprawek systemu poprzez mechanizm zarządzany przez administratora systemu Zamawiającego.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Dostępność bezpłatnych biuletynów bezpieczeństwa związanych </w:t>
            </w:r>
            <w:r>
              <w:rPr>
                <w:rFonts w:ascii="Arial" w:hAnsi="Arial"/>
                <w:sz w:val="18"/>
                <w:szCs w:val="18"/>
              </w:rPr>
              <w:br/>
              <w:t>z działaniem systemu operacyjnego.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Wbudowana zapora internetowa (firewall) dla ochrony połączeń internetowych; zintegrowana z systemem konsola do zarządzania ustawieniami zapory i regułami IP v4 i v6. 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Wbudowane mechanizmy ochrony antywirusowej i przeciw złośliwemu oprogramowaniu z zapewnionymi bezpłatnymi aktualizacjami.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Plug&amp;Play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, Wi-Fi).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Funkcjonalność automatycznej zmiany domyślnej drukarki w zależności od sieci, do której podłączony jest komputer.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zarządzania stacją roboczą poprzez polityki grupowe – przez politykę rozumiemy zestaw reguł definiujących lub ograniczających funkcjonalność systemu lub aplikacji.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Rozbudowane, definiowalne polityki bezpieczeństwa – polityki dla systemu operacyjnego i dla wskazanych aplikacji.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Możliwość zdalnej automatycznej instalacji, konfiguracji, administrowania oraz aktualizowania systemu, zgodnie z określonymi uprawnieniami poprzez polityki grupowe.   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Zabezpieczony hasłem hierarchiczny dostęp do systemu, konta i profile użytkowników zarządzane zdalnie; praca systemu w trybie ochrony kont użytkowników.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Mechanizm pozwalający użytkownikowi zarejestrowanego w systemie przedsiębiorstwa/instytucji urządzenia na uprawniony dostęp do zasobów tego systemu.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Zintegrowany z systemem operacyjnym moduł synchronizacji komputera </w:t>
            </w:r>
            <w:r>
              <w:rPr>
                <w:rFonts w:ascii="Arial" w:hAnsi="Arial"/>
                <w:sz w:val="18"/>
                <w:szCs w:val="18"/>
              </w:rPr>
              <w:br/>
              <w:t xml:space="preserve">z urządzeniami zewnętrznymi.  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Obsługa </w:t>
            </w:r>
            <w:proofErr w:type="spellStart"/>
            <w:r>
              <w:rPr>
                <w:rFonts w:ascii="Arial" w:hAnsi="Arial"/>
                <w:sz w:val="18"/>
                <w:szCs w:val="18"/>
                <w:lang w:val="en-US"/>
              </w:rPr>
              <w:t>standardu</w:t>
            </w:r>
            <w:proofErr w:type="spellEnd"/>
            <w:r>
              <w:rPr>
                <w:rFonts w:ascii="Arial" w:hAnsi="Arial"/>
                <w:sz w:val="18"/>
                <w:szCs w:val="18"/>
                <w:lang w:val="en-US"/>
              </w:rPr>
              <w:t xml:space="preserve"> NFC (near field communication).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Możliwość przystosowania stanowiska dla osób niepełnosprawnych (np. słabo widzących). 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dla IPSEC oparte na politykach – wdrażanie IPSEC oparte na zestawach reguł definiujących ustawienia zarządzanych w sposób centralny.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Automatyczne występowanie i używanie (wystawianie) certyfikatów PKI X.509.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Mechanizmy logowania do domeny w oparciu o:</w:t>
            </w:r>
          </w:p>
          <w:p w:rsidR="00EF2612" w:rsidRDefault="0038209B">
            <w:pPr>
              <w:numPr>
                <w:ilvl w:val="1"/>
                <w:numId w:val="4"/>
              </w:numPr>
              <w:spacing w:line="360" w:lineRule="auto"/>
              <w:ind w:left="683" w:hanging="284"/>
              <w:contextualSpacing/>
            </w:pPr>
            <w:r>
              <w:rPr>
                <w:rFonts w:ascii="Arial" w:hAnsi="Arial"/>
                <w:sz w:val="18"/>
                <w:szCs w:val="18"/>
              </w:rPr>
              <w:t>Login i hasło,</w:t>
            </w:r>
          </w:p>
          <w:p w:rsidR="00EF2612" w:rsidRDefault="0038209B">
            <w:pPr>
              <w:numPr>
                <w:ilvl w:val="1"/>
                <w:numId w:val="4"/>
              </w:numPr>
              <w:spacing w:line="360" w:lineRule="auto"/>
              <w:ind w:left="683" w:hanging="284"/>
              <w:contextualSpacing/>
            </w:pPr>
            <w:r>
              <w:rPr>
                <w:rFonts w:ascii="Arial" w:hAnsi="Arial"/>
                <w:sz w:val="18"/>
                <w:szCs w:val="18"/>
              </w:rPr>
              <w:t>Karty z certyfikatami 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smartcard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),</w:t>
            </w:r>
          </w:p>
          <w:p w:rsidR="00EF2612" w:rsidRDefault="0038209B">
            <w:pPr>
              <w:numPr>
                <w:ilvl w:val="1"/>
                <w:numId w:val="4"/>
              </w:numPr>
              <w:spacing w:line="360" w:lineRule="auto"/>
              <w:ind w:left="683" w:hanging="284"/>
              <w:contextualSpacing/>
            </w:pPr>
            <w:r>
              <w:rPr>
                <w:rFonts w:ascii="Arial" w:hAnsi="Arial"/>
                <w:sz w:val="18"/>
                <w:szCs w:val="18"/>
              </w:rPr>
              <w:t>Wirtualne karty (logowanie w oparciu o certyfikat chroniony poprzez moduł TPM).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Mechanizmy wieloelementowego uwierzytelniania.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Wsparcie dla uwierzytelniania na bazie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Kerberos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v. 5.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do uwierzytelnienia urządzenia na bazie certyfikatu.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dla algorytmów Suite B (RFC 4869).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Wsparcie wbudowanej zapory ogniowej dla Internet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Key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Exchange v. 2 (IKEv2) dla warstwy transportowej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IPsec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Wbudowane narzędzia służące do administracji, do wykonywania kopii zapasowych polityk i ich odtwarzania oraz generowania raportów </w:t>
            </w:r>
            <w:r>
              <w:rPr>
                <w:rFonts w:ascii="Arial" w:hAnsi="Arial"/>
                <w:sz w:val="18"/>
                <w:szCs w:val="18"/>
              </w:rPr>
              <w:br/>
              <w:t>z ustawień polityk.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Wsparcie dla środowisk Java i .NET Framework 4.x – możliwość uruchomienia aplikacji działających we wskazanych środowiskach.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Wsparcie dla JScript i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VBScript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– możliwość uruchamiania interpretera poleceń.</w:t>
            </w:r>
          </w:p>
          <w:p w:rsidR="00EF2612" w:rsidRDefault="00EF2612">
            <w:pPr>
              <w:spacing w:line="360" w:lineRule="auto"/>
              <w:contextualSpacing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lastRenderedPageBreak/>
              <w:t xml:space="preserve">Zdalna pomoc i współdzielenie aplikacji – możliwość zdalnego przejęcia sesji zalogowanego użytkownika celem rozwiązania problemu </w:t>
            </w:r>
            <w:r>
              <w:rPr>
                <w:rFonts w:ascii="Arial" w:hAnsi="Arial"/>
                <w:sz w:val="18"/>
                <w:szCs w:val="18"/>
              </w:rPr>
              <w:br/>
              <w:t>z komputerem,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Rozwiązanie służące do automatycznego zbudowania obrazu systemu wraz z aplikacjami. Obraz systemu służyć ma do automatycznego upowszechnienia systemu operacyjnego inicjowanego i wykonywanego </w:t>
            </w:r>
            <w:r>
              <w:rPr>
                <w:rFonts w:ascii="Arial" w:hAnsi="Arial"/>
                <w:sz w:val="18"/>
                <w:szCs w:val="18"/>
              </w:rPr>
              <w:br/>
              <w:t>w całości poprzez sieć komputerową.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Rozwiązanie umożliwiające wdrożenie nowego obrazu poprzez zdalną instalację.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Transakcyjny system plików pozwalający na stosowanie przydziałów (ang.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quota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) na dysku dla użytkowników oraz zapewniający większą niezawodność i pozwalający tworzyć kopie zapasowe.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Zarządzanie kontami użytkowników sieci oraz urządzeniami sieciowymi tj. drukarki, modemy, woluminy dyskowe, usługi katalogowe.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Udostępnianie modemu.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Oprogramowanie dla tworzenia kopii zapasowych (Backup); automatyczne wykonywanie kopii plików z możliwością automatycznego przywrócenia wersji wcześniejszej.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przywracania obrazu plików systemowych do uprzednio zapisanej postaci.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blokowania lub dopuszczania dowolnych urządzeń peryferyjnych za pomocą polityk grupowych (np. przy użyciu numerów identyfikacyjnych sprzętu).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Wbudowany mechanizm wirtualizacji typu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hypervisor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, umożliwiający, zgodnie z uprawnieniami licencyjnymi, uruchomienie do 4 maszyn wirtualnych.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Mechanizm szyfrowania dysków wewnętrznych i zewnętrznych </w:t>
            </w:r>
            <w:r>
              <w:rPr>
                <w:rFonts w:ascii="Arial" w:hAnsi="Arial"/>
                <w:sz w:val="18"/>
                <w:szCs w:val="18"/>
              </w:rPr>
              <w:br/>
              <w:t>z możliwością szyfrowania ograniczonego do danych użytkownika.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Wbudowane w system narzędzie do szyfrowania partycji systemowych komputera, z możliwością przechowywania certyfikatów w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mikrochipie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TPM (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Trusted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Platform Module) w wersji minimum 2.0 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 xml:space="preserve">Wbudowane w system narzędzie do szyfrowania dysków przenośnych, </w:t>
            </w:r>
            <w:r>
              <w:rPr>
                <w:rFonts w:ascii="Arial" w:hAnsi="Arial"/>
                <w:sz w:val="18"/>
                <w:szCs w:val="18"/>
              </w:rPr>
              <w:br/>
              <w:t>z możliwością centralnego zarządzania poprzez polityki grupowe, pozwalające na wymuszenie szyfrowania dysków przenośnych.</w:t>
            </w:r>
          </w:p>
          <w:p w:rsidR="00EF2612" w:rsidRDefault="0038209B">
            <w:pPr>
              <w:numPr>
                <w:ilvl w:val="0"/>
                <w:numId w:val="4"/>
              </w:numPr>
              <w:spacing w:line="360" w:lineRule="auto"/>
              <w:ind w:left="399" w:hanging="360"/>
              <w:contextualSpacing/>
            </w:pPr>
            <w:r>
              <w:rPr>
                <w:rFonts w:ascii="Arial" w:hAnsi="Arial"/>
                <w:sz w:val="18"/>
                <w:szCs w:val="18"/>
              </w:rPr>
              <w:t>Możliwość tworzenia i przechowywania kopii zapasowych kluczy odzyskiwania do szyfrowania partycji w usługach katalogowych.</w:t>
            </w:r>
          </w:p>
          <w:p w:rsidR="00EF2612" w:rsidRDefault="0038209B">
            <w:pPr>
              <w:spacing w:after="15" w:line="360" w:lineRule="auto"/>
            </w:pPr>
            <w:r>
              <w:rPr>
                <w:rFonts w:ascii="Arial" w:hAnsi="Arial"/>
                <w:sz w:val="18"/>
                <w:szCs w:val="18"/>
              </w:rPr>
              <w:t xml:space="preserve">Możliwość instalowania dodatkowych języków interfejsu systemu operacyjnego oraz możliwość zmiany języka bez konieczności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reinstalacji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 xml:space="preserve"> systemu.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lastRenderedPageBreak/>
              <w:t>Certyfikacja komputera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Zgodność z normą CE – PN-EN 41003:2012 lub równoważną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TCO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certyfikat dostępny na stronie https://tcocertified.com/product-finder/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double" w:sz="2" w:space="0" w:color="000001"/>
            </w:tcBorders>
            <w:shd w:val="clear" w:color="auto" w:fill="D9D9D9" w:themeFill="background1" w:themeFillShade="D9"/>
            <w:vAlign w:val="center"/>
          </w:tcPr>
          <w:p w:rsidR="00EF2612" w:rsidRDefault="0038209B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Monitor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Przekątna wyświetlanego obrazu nie mniejsza niż 60,45 cm (23,8 cala)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Współczynnik proporcji 16:9,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Częstotliwości odświeżania minimum 60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przy Rozdzielczości 1920 x 1080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Technologia IPS z podświetleniem LED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Czas reakcji matrycy max. 8 ms (od szarego do szarego)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Jasność minimum 250 cd/m2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Kontrast 1000:1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Wielkość plamki max. 0.275 mm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Częstotliwość odświeżania min. 60Hz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Posiada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porty przynajmniej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1x DisplayPort (ver. 1.2);  1x VGA; 1x port HDMI 1.4; USB 3.0 do </w:t>
            </w:r>
            <w:r>
              <w:rPr>
                <w:rFonts w:ascii="Arial" w:hAnsi="Arial" w:cs="Arial"/>
                <w:sz w:val="18"/>
                <w:szCs w:val="18"/>
              </w:rPr>
              <w:t>wysyłania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danych; 2 porty USB 3.0 z boku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Kąty widzenia nie mniejsze niż 178° w pionie i 178° w poziomie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Możliwość regulacji pod względem wysokości i pochylenia, obrotowa podstawa 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Zasilanie z sieci 230V AC, 50Hz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Pobór mocy podczas pracy 30 W (standardowo); 45 W (maksymalnie)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Pobór mocy w trybie gotowości i uśpienia: poniżej 0,5 W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zestawie:</w:t>
            </w:r>
          </w:p>
          <w:p w:rsidR="00EF2612" w:rsidRDefault="0038209B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- 1x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przewód zasilający, europejski</w:t>
            </w:r>
          </w:p>
          <w:p w:rsidR="00EF2612" w:rsidRDefault="0038209B">
            <w:pPr>
              <w:pStyle w:val="Standard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- 1x kabel DP-DP</w:t>
            </w:r>
          </w:p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- 1x kabel USB 3.0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Maksymalna ilość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sub-pixeli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sub-pixele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zablokowane w pozycji włączonej: 2</w:t>
            </w:r>
          </w:p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sub-pixele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zablokowane w pozycji wyłączonej: 5</w:t>
            </w:r>
          </w:p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przypadku większej ilości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-pikseli monitor podlega darmowej wymianie na gwarancji na egzemplarz wolny od takiej wady.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Gwarancja i serwis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</w:pPr>
            <w:r>
              <w:rPr>
                <w:rFonts w:ascii="Arial" w:hAnsi="Arial" w:cs="Arial"/>
                <w:sz w:val="18"/>
                <w:szCs w:val="18"/>
              </w:rPr>
              <w:t>Gwarancja obejmuje wszystkie części zestawu komputerowego przez okres 36 miesięcy od daty dostarczenia do Zamawiającego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Czas reakcji serwisu – do końca następnego dnia roboczego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serwisująca musi posiadać ISO 9001:2000 lub równoważne na świadczenie usług serwisowych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weryfikacji czasu obowiązywania i reżimu gwarancji bezpośrednio z sieci Internet za pośrednictwem strony www producenta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Zamawiający ma prawo oddać komputer do naprawy gwarancyjnej bez dysku twardego. W przypadku awarii dysku twardego Zamawiającemu przysługuje prawo do otrzymania nowego dysku bez konieczności jego wymiany po stwierdzeniu jego awarii wskazanym przez producenta programem diagnostycznym.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Serwis urządzeń musi być realizowany przez Producenta lub Autoryzowanego Partnera Serwisowego Producenta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9317" w:type="dxa"/>
            <w:gridSpan w:val="3"/>
            <w:tcBorders>
              <w:top w:val="single" w:sz="4" w:space="0" w:color="000001"/>
              <w:left w:val="double" w:sz="2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Inne</w:t>
            </w: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Telefoniczna infolinia/linia techniczna producenta komputera, dostępna w czasie obowiązywania gwarancji na sprzęt i umożliwiająca po podaniu numeru seryjnego urządzenia: weryfikację konfiguracji fabrycznej wraz z wersją fabrycznie dostarczonego oprogramowania (system operacyjny, szczegółowa konfiguracja sprzętowa – CPU, HDD, RAM), czasu obowiązywania i typ udzielonej gwarancji.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aktualizacji i pobrania sterowników do oferowanego modelu komputera w najnowszych certyfikowanych wersjach bezpośrednio z sieci Internet za pośrednictwem strony www producenta komputera po podaniu numeru seryjnego komputera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612">
        <w:trPr>
          <w:cantSplit/>
          <w:trHeight w:val="340"/>
          <w:jc w:val="center"/>
        </w:trPr>
        <w:tc>
          <w:tcPr>
            <w:tcW w:w="4910" w:type="dxa"/>
            <w:tcBorders>
              <w:top w:val="single" w:sz="4" w:space="0" w:color="000001"/>
              <w:left w:val="double" w:sz="2" w:space="0" w:color="000001"/>
              <w:bottom w:val="single" w:sz="4" w:space="0" w:color="000001"/>
            </w:tcBorders>
            <w:shd w:val="clear" w:color="auto" w:fill="auto"/>
          </w:tcPr>
          <w:p w:rsidR="00EF2612" w:rsidRDefault="0038209B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Sprzęt należy dostarczyć do siedziby Zamawiającego, w formie skompletowanej i skonfigurowanej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F2612" w:rsidRDefault="0038209B">
            <w:pPr>
              <w:pStyle w:val="Standard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TAK</w:t>
            </w:r>
          </w:p>
        </w:tc>
        <w:tc>
          <w:tcPr>
            <w:tcW w:w="2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1"/>
            </w:tcBorders>
            <w:shd w:val="clear" w:color="auto" w:fill="auto"/>
            <w:vAlign w:val="center"/>
          </w:tcPr>
          <w:p w:rsidR="00EF2612" w:rsidRDefault="00EF2612">
            <w:pPr>
              <w:pStyle w:val="Standard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F2612" w:rsidRDefault="00EF2612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EF2612" w:rsidRDefault="00EF2612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EF2612" w:rsidRDefault="00EF2612">
      <w:pPr>
        <w:pStyle w:val="Standard"/>
        <w:jc w:val="both"/>
        <w:rPr>
          <w:rFonts w:ascii="Arial" w:hAnsi="Arial" w:cs="Arial"/>
          <w:sz w:val="18"/>
          <w:szCs w:val="18"/>
        </w:rPr>
      </w:pPr>
    </w:p>
    <w:p w:rsidR="00EF2612" w:rsidRDefault="0038209B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*)</w:t>
      </w:r>
    </w:p>
    <w:p w:rsidR="00EF2612" w:rsidRDefault="0038209B">
      <w:pPr>
        <w:pStyle w:val="Standard"/>
        <w:numPr>
          <w:ilvl w:val="0"/>
          <w:numId w:val="4"/>
        </w:numPr>
        <w:ind w:left="357" w:hanging="357"/>
        <w:jc w:val="both"/>
      </w:pPr>
      <w:r>
        <w:rPr>
          <w:rFonts w:ascii="Arial" w:hAnsi="Arial" w:cs="Arial"/>
          <w:sz w:val="18"/>
          <w:szCs w:val="18"/>
        </w:rPr>
        <w:t xml:space="preserve">w przypadku, gdy w rubryce </w:t>
      </w:r>
      <w:r>
        <w:rPr>
          <w:rFonts w:ascii="Arial" w:hAnsi="Arial" w:cs="Arial"/>
          <w:i/>
          <w:sz w:val="18"/>
          <w:szCs w:val="18"/>
        </w:rPr>
        <w:t>„ODPOWIEDŹ WYMAGANA”</w:t>
      </w:r>
      <w:r>
        <w:rPr>
          <w:rFonts w:ascii="Arial" w:hAnsi="Arial" w:cs="Arial"/>
          <w:sz w:val="18"/>
          <w:szCs w:val="18"/>
        </w:rPr>
        <w:t xml:space="preserve"> wymagana jest odpowiedź </w:t>
      </w:r>
      <w:r>
        <w:rPr>
          <w:rFonts w:ascii="Arial" w:hAnsi="Arial" w:cs="Arial"/>
          <w:i/>
          <w:sz w:val="18"/>
          <w:szCs w:val="18"/>
        </w:rPr>
        <w:t>TAK</w:t>
      </w:r>
      <w:r>
        <w:rPr>
          <w:rFonts w:ascii="Arial" w:hAnsi="Arial" w:cs="Arial"/>
          <w:sz w:val="18"/>
          <w:szCs w:val="18"/>
        </w:rPr>
        <w:t xml:space="preserve">, to Wykonawca jest zobowiązany do potwierdzenia jej w rubryce </w:t>
      </w:r>
      <w:r>
        <w:rPr>
          <w:rFonts w:ascii="Arial" w:hAnsi="Arial" w:cs="Arial"/>
          <w:i/>
          <w:sz w:val="18"/>
          <w:szCs w:val="18"/>
        </w:rPr>
        <w:t>„ODPOWIEDŹ WYKONAWCY”</w:t>
      </w:r>
      <w:r>
        <w:rPr>
          <w:rFonts w:ascii="Arial" w:hAnsi="Arial" w:cs="Arial"/>
          <w:sz w:val="18"/>
          <w:szCs w:val="18"/>
        </w:rPr>
        <w:t>;</w:t>
      </w:r>
    </w:p>
    <w:p w:rsidR="00EF2612" w:rsidRDefault="0038209B">
      <w:pPr>
        <w:pStyle w:val="Standard"/>
        <w:numPr>
          <w:ilvl w:val="0"/>
          <w:numId w:val="2"/>
        </w:numPr>
        <w:ind w:left="357" w:hanging="357"/>
        <w:jc w:val="both"/>
      </w:pPr>
      <w:r>
        <w:rPr>
          <w:rFonts w:ascii="Arial" w:hAnsi="Arial" w:cs="Arial"/>
          <w:sz w:val="18"/>
          <w:szCs w:val="18"/>
        </w:rPr>
        <w:t xml:space="preserve">w przypadku, gdy w rubryce </w:t>
      </w:r>
      <w:r>
        <w:rPr>
          <w:rFonts w:ascii="Arial" w:hAnsi="Arial" w:cs="Arial"/>
          <w:i/>
          <w:sz w:val="18"/>
          <w:szCs w:val="18"/>
        </w:rPr>
        <w:t>„ODPOWIEDŹ WYMAGANA”</w:t>
      </w:r>
      <w:r>
        <w:rPr>
          <w:rFonts w:ascii="Arial" w:hAnsi="Arial" w:cs="Arial"/>
          <w:sz w:val="18"/>
          <w:szCs w:val="18"/>
        </w:rPr>
        <w:t xml:space="preserve"> wymagana jest odpowiedź </w:t>
      </w:r>
      <w:r>
        <w:rPr>
          <w:rFonts w:ascii="Arial" w:hAnsi="Arial" w:cs="Arial"/>
          <w:i/>
          <w:sz w:val="18"/>
          <w:szCs w:val="18"/>
        </w:rPr>
        <w:t>PODAĆ</w:t>
      </w:r>
      <w:r>
        <w:rPr>
          <w:rFonts w:ascii="Arial" w:hAnsi="Arial" w:cs="Arial"/>
          <w:sz w:val="18"/>
          <w:szCs w:val="18"/>
        </w:rPr>
        <w:t xml:space="preserve"> to Wykonawca jest zobowiązany do opisania / podania wartości parametru w rubryce </w:t>
      </w:r>
      <w:r>
        <w:rPr>
          <w:rFonts w:ascii="Arial" w:hAnsi="Arial" w:cs="Arial"/>
          <w:i/>
          <w:sz w:val="18"/>
          <w:szCs w:val="18"/>
        </w:rPr>
        <w:t>„ODPOWIEDŹ WYKONAWCY”</w:t>
      </w:r>
      <w:r>
        <w:rPr>
          <w:rFonts w:ascii="Arial" w:hAnsi="Arial" w:cs="Arial"/>
          <w:sz w:val="18"/>
          <w:szCs w:val="18"/>
        </w:rPr>
        <w:t>.</w:t>
      </w:r>
    </w:p>
    <w:p w:rsidR="00EF2612" w:rsidRDefault="00EF2612"/>
    <w:p w:rsidR="006C22A4" w:rsidRDefault="006C22A4"/>
    <w:p w:rsidR="006C22A4" w:rsidRPr="00A86A29" w:rsidRDefault="006C22A4" w:rsidP="006C22A4">
      <w:pPr>
        <w:spacing w:before="120" w:after="120"/>
        <w:rPr>
          <w:rFonts w:ascii="Calibri Light" w:hAnsi="Calibri Light" w:cs="Calibri Light"/>
          <w:lang w:val="de-DE"/>
        </w:rPr>
      </w:pPr>
      <w:r w:rsidRPr="00A86A29">
        <w:rPr>
          <w:rFonts w:ascii="Calibri Light" w:hAnsi="Calibri Light" w:cs="Calibri Light"/>
        </w:rPr>
        <w:t xml:space="preserve">…………….……. </w:t>
      </w:r>
      <w:r w:rsidRPr="00A86A29">
        <w:rPr>
          <w:rFonts w:ascii="Calibri Light" w:hAnsi="Calibri Light" w:cs="Calibri Light"/>
          <w:i/>
        </w:rPr>
        <w:t xml:space="preserve">(miejscowość), </w:t>
      </w:r>
      <w:r w:rsidRPr="00A86A29">
        <w:rPr>
          <w:rFonts w:ascii="Calibri Light" w:hAnsi="Calibri Light" w:cs="Calibri Light"/>
        </w:rPr>
        <w:t xml:space="preserve">dnia ………….……. r. </w:t>
      </w:r>
    </w:p>
    <w:p w:rsidR="006C22A4" w:rsidRPr="007866E7" w:rsidRDefault="006C22A4" w:rsidP="006C22A4">
      <w:pPr>
        <w:ind w:left="4536"/>
        <w:jc w:val="center"/>
        <w:rPr>
          <w:rFonts w:ascii="Calibri Light" w:hAnsi="Calibri Light" w:cs="Calibri Light"/>
        </w:rPr>
      </w:pPr>
      <w:r w:rsidRPr="007866E7">
        <w:rPr>
          <w:rFonts w:ascii="Calibri Light" w:hAnsi="Calibri Light" w:cs="Calibri Light"/>
          <w:iCs/>
        </w:rPr>
        <w:t>..................................................................</w:t>
      </w:r>
    </w:p>
    <w:p w:rsidR="006C22A4" w:rsidRPr="007866E7" w:rsidRDefault="006C22A4" w:rsidP="006C22A4">
      <w:pPr>
        <w:pStyle w:val="Tekstpodstawowy"/>
        <w:spacing w:after="0" w:line="240" w:lineRule="auto"/>
        <w:ind w:left="4536"/>
        <w:jc w:val="center"/>
        <w:rPr>
          <w:rFonts w:ascii="Calibri Light" w:hAnsi="Calibri Light" w:cs="Calibri Light"/>
          <w:bCs/>
          <w:i/>
          <w:iCs/>
        </w:rPr>
      </w:pPr>
      <w:r w:rsidRPr="007866E7">
        <w:rPr>
          <w:rFonts w:ascii="Calibri Light" w:hAnsi="Calibri Light" w:cs="Calibri Light"/>
          <w:bCs/>
          <w:i/>
        </w:rPr>
        <w:t>(podpis  osoby/ osób uprawnionych</w:t>
      </w:r>
    </w:p>
    <w:p w:rsidR="006C22A4" w:rsidRPr="007866E7" w:rsidRDefault="006C22A4" w:rsidP="006C22A4">
      <w:pPr>
        <w:pStyle w:val="Tekstpodstawowy"/>
        <w:spacing w:after="0" w:line="240" w:lineRule="auto"/>
        <w:ind w:left="4536"/>
        <w:jc w:val="center"/>
        <w:rPr>
          <w:rFonts w:ascii="Calibri Light" w:hAnsi="Calibri Light" w:cs="Calibri Light"/>
          <w:b/>
          <w:bCs/>
          <w:i/>
          <w:lang w:eastAsia="x-none"/>
        </w:rPr>
      </w:pPr>
      <w:r w:rsidRPr="007866E7">
        <w:rPr>
          <w:rFonts w:ascii="Calibri Light" w:hAnsi="Calibri Light" w:cs="Calibri Light"/>
          <w:bCs/>
          <w:i/>
          <w:iCs/>
        </w:rPr>
        <w:t>do występowania w imieniu Wykonawcy)</w:t>
      </w:r>
    </w:p>
    <w:p w:rsidR="006C22A4" w:rsidRDefault="006C22A4" w:rsidP="006C22A4"/>
    <w:p w:rsidR="006C22A4" w:rsidRDefault="006C22A4"/>
    <w:sectPr w:rsidR="006C22A4" w:rsidSect="006C22A4">
      <w:headerReference w:type="default" r:id="rId10"/>
      <w:footerReference w:type="default" r:id="rId11"/>
      <w:pgSz w:w="11906" w:h="16838"/>
      <w:pgMar w:top="1976" w:right="1417" w:bottom="1417" w:left="1417" w:header="1417" w:footer="99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A7" w:rsidRDefault="005941A7">
      <w:r>
        <w:separator/>
      </w:r>
    </w:p>
  </w:endnote>
  <w:endnote w:type="continuationSeparator" w:id="0">
    <w:p w:rsidR="005941A7" w:rsidRDefault="0059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</w:rPr>
      <w:id w:val="-43836280"/>
      <w:docPartObj>
        <w:docPartGallery w:val="Page Numbers (Bottom of Page)"/>
        <w:docPartUnique/>
      </w:docPartObj>
    </w:sdtPr>
    <w:sdtEndPr/>
    <w:sdtContent>
      <w:p w:rsidR="006C22A4" w:rsidRPr="006C22A4" w:rsidRDefault="006C22A4" w:rsidP="006C22A4">
        <w:pPr>
          <w:pStyle w:val="Stopka"/>
          <w:jc w:val="right"/>
          <w:rPr>
            <w:rFonts w:asciiTheme="minorHAnsi" w:hAnsiTheme="minorHAnsi"/>
            <w:sz w:val="20"/>
          </w:rPr>
        </w:pPr>
        <w:r w:rsidRPr="006C22A4">
          <w:rPr>
            <w:rFonts w:asciiTheme="minorHAnsi" w:hAnsiTheme="minorHAnsi"/>
            <w:sz w:val="20"/>
          </w:rPr>
          <w:fldChar w:fldCharType="begin"/>
        </w:r>
        <w:r w:rsidRPr="006C22A4">
          <w:rPr>
            <w:rFonts w:asciiTheme="minorHAnsi" w:hAnsiTheme="minorHAnsi"/>
            <w:sz w:val="20"/>
          </w:rPr>
          <w:instrText>PAGE   \* MERGEFORMAT</w:instrText>
        </w:r>
        <w:r w:rsidRPr="006C22A4">
          <w:rPr>
            <w:rFonts w:asciiTheme="minorHAnsi" w:hAnsiTheme="minorHAnsi"/>
            <w:sz w:val="20"/>
          </w:rPr>
          <w:fldChar w:fldCharType="separate"/>
        </w:r>
        <w:r w:rsidR="0029154E">
          <w:rPr>
            <w:rFonts w:asciiTheme="minorHAnsi" w:hAnsiTheme="minorHAnsi"/>
            <w:noProof/>
            <w:sz w:val="20"/>
          </w:rPr>
          <w:t>15</w:t>
        </w:r>
        <w:r w:rsidRPr="006C22A4">
          <w:rPr>
            <w:rFonts w:asciiTheme="minorHAnsi" w:hAnsiTheme="minorHAnsi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A7" w:rsidRDefault="005941A7">
      <w:r>
        <w:separator/>
      </w:r>
    </w:p>
  </w:footnote>
  <w:footnote w:type="continuationSeparator" w:id="0">
    <w:p w:rsidR="005941A7" w:rsidRDefault="00594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A4" w:rsidRPr="00E72331" w:rsidRDefault="006C22A4" w:rsidP="006C22A4">
    <w:pPr>
      <w:pStyle w:val="Nagwek"/>
    </w:pPr>
    <w:r w:rsidRPr="007866E7">
      <w:rPr>
        <w:rFonts w:ascii="Calibri Light" w:hAnsi="Calibri Light" w:cs="Arial"/>
        <w:sz w:val="20"/>
        <w:szCs w:val="20"/>
      </w:rPr>
      <w:t xml:space="preserve">znak sprawy: </w:t>
    </w:r>
    <w:r w:rsidRPr="007866E7">
      <w:rPr>
        <w:rFonts w:ascii="Calibri Light" w:hAnsi="Calibri Light" w:cs="Arial"/>
        <w:b/>
        <w:sz w:val="20"/>
        <w:szCs w:val="20"/>
      </w:rPr>
      <w:t>UCKWUM.262.051.2020</w:t>
    </w:r>
  </w:p>
  <w:p w:rsidR="00EF2612" w:rsidRPr="006C22A4" w:rsidRDefault="00EF2612" w:rsidP="006C22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84DFC"/>
    <w:multiLevelType w:val="multilevel"/>
    <w:tmpl w:val="FB78F12A"/>
    <w:lvl w:ilvl="0">
      <w:start w:val="1"/>
      <w:numFmt w:val="bullet"/>
      <w:lvlText w:val=""/>
      <w:lvlJc w:val="left"/>
      <w:pPr>
        <w:ind w:left="720" w:firstLine="0"/>
      </w:pPr>
      <w:rPr>
        <w:rFonts w:ascii="Wingdings" w:hAnsi="Wingdings" w:cs="Wingdings" w:hint="default"/>
        <w:b/>
        <w:sz w:val="18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  <w:sz w:val="18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cs="Wingdings" w:hint="default"/>
        <w:sz w:val="18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ourier New" w:hAnsi="Courier New" w:cs="Courier New" w:hint="default"/>
        <w:sz w:val="18"/>
      </w:rPr>
    </w:lvl>
    <w:lvl w:ilvl="5">
      <w:start w:val="1"/>
      <w:numFmt w:val="bullet"/>
      <w:lvlText w:val=""/>
      <w:lvlJc w:val="left"/>
      <w:pPr>
        <w:ind w:left="2520" w:firstLine="0"/>
      </w:pPr>
      <w:rPr>
        <w:rFonts w:ascii="Wingdings" w:hAnsi="Wingdings" w:cs="Wingdings" w:hint="default"/>
        <w:sz w:val="18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  <w:sz w:val="18"/>
      </w:rPr>
    </w:lvl>
    <w:lvl w:ilvl="8">
      <w:start w:val="1"/>
      <w:numFmt w:val="bullet"/>
      <w:lvlText w:val=""/>
      <w:lvlJc w:val="left"/>
      <w:pPr>
        <w:ind w:left="3600" w:firstLine="0"/>
      </w:pPr>
      <w:rPr>
        <w:rFonts w:ascii="Wingdings" w:hAnsi="Wingdings" w:cs="Wingdings" w:hint="default"/>
        <w:sz w:val="18"/>
      </w:rPr>
    </w:lvl>
  </w:abstractNum>
  <w:abstractNum w:abstractNumId="1">
    <w:nsid w:val="2C6977EA"/>
    <w:multiLevelType w:val="multilevel"/>
    <w:tmpl w:val="545835D0"/>
    <w:lvl w:ilvl="0">
      <w:start w:val="1"/>
      <w:numFmt w:val="bullet"/>
      <w:lvlText w:val=""/>
      <w:lvlJc w:val="left"/>
      <w:pPr>
        <w:ind w:left="720" w:firstLine="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  <w:sz w:val="18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firstLine="0"/>
      </w:pPr>
      <w:rPr>
        <w:rFonts w:ascii="Wingdings" w:hAnsi="Wingdings" w:cs="Wingdings" w:hint="default"/>
      </w:rPr>
    </w:lvl>
  </w:abstractNum>
  <w:abstractNum w:abstractNumId="2">
    <w:nsid w:val="3CC352B6"/>
    <w:multiLevelType w:val="multilevel"/>
    <w:tmpl w:val="C922933A"/>
    <w:lvl w:ilvl="0">
      <w:start w:val="1"/>
      <w:numFmt w:val="bullet"/>
      <w:lvlText w:val=""/>
      <w:lvlJc w:val="left"/>
      <w:pPr>
        <w:ind w:left="720" w:firstLine="0"/>
      </w:pPr>
      <w:rPr>
        <w:rFonts w:ascii="Wingdings" w:hAnsi="Wingdings" w:cs="Wingdings" w:hint="default"/>
        <w:b/>
        <w:sz w:val="18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  <w:sz w:val="18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cs="Wingdings" w:hint="default"/>
        <w:sz w:val="18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ourier New" w:hAnsi="Courier New" w:cs="Courier New" w:hint="default"/>
        <w:sz w:val="18"/>
      </w:rPr>
    </w:lvl>
    <w:lvl w:ilvl="5">
      <w:start w:val="1"/>
      <w:numFmt w:val="bullet"/>
      <w:lvlText w:val=""/>
      <w:lvlJc w:val="left"/>
      <w:pPr>
        <w:ind w:left="2520" w:firstLine="0"/>
      </w:pPr>
      <w:rPr>
        <w:rFonts w:ascii="Wingdings" w:hAnsi="Wingdings" w:cs="Wingdings" w:hint="default"/>
        <w:sz w:val="18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  <w:sz w:val="18"/>
      </w:rPr>
    </w:lvl>
    <w:lvl w:ilvl="8">
      <w:start w:val="1"/>
      <w:numFmt w:val="bullet"/>
      <w:lvlText w:val=""/>
      <w:lvlJc w:val="left"/>
      <w:pPr>
        <w:ind w:left="3600" w:firstLine="0"/>
      </w:pPr>
      <w:rPr>
        <w:rFonts w:ascii="Wingdings" w:hAnsi="Wingdings" w:cs="Wingdings" w:hint="default"/>
        <w:sz w:val="18"/>
      </w:rPr>
    </w:lvl>
  </w:abstractNum>
  <w:abstractNum w:abstractNumId="3">
    <w:nsid w:val="4E846A72"/>
    <w:multiLevelType w:val="multilevel"/>
    <w:tmpl w:val="DD1C2352"/>
    <w:lvl w:ilvl="0">
      <w:start w:val="1"/>
      <w:numFmt w:val="bullet"/>
      <w:lvlText w:val="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firstLine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firstLine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firstLine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firstLine="0"/>
      </w:pPr>
      <w:rPr>
        <w:rFonts w:ascii="Wingdings" w:hAnsi="Wingdings" w:cs="Wingdings" w:hint="default"/>
      </w:rPr>
    </w:lvl>
  </w:abstractNum>
  <w:abstractNum w:abstractNumId="4">
    <w:nsid w:val="7618359B"/>
    <w:multiLevelType w:val="multilevel"/>
    <w:tmpl w:val="68D421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612"/>
    <w:rsid w:val="0029154E"/>
    <w:rsid w:val="0038209B"/>
    <w:rsid w:val="005941A7"/>
    <w:rsid w:val="006C22A4"/>
    <w:rsid w:val="00E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58C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E2258C"/>
    <w:rPr>
      <w:color w:val="000080"/>
      <w:u w:val="single"/>
    </w:rPr>
  </w:style>
  <w:style w:type="character" w:customStyle="1" w:styleId="ListLabel1">
    <w:name w:val="ListLabel 1"/>
    <w:qFormat/>
    <w:rPr>
      <w:rFonts w:ascii="Arial" w:hAnsi="Arial"/>
      <w:b/>
      <w:sz w:val="18"/>
    </w:rPr>
  </w:style>
  <w:style w:type="character" w:customStyle="1" w:styleId="ListLabel2">
    <w:name w:val="ListLabel 2"/>
    <w:qFormat/>
    <w:rPr>
      <w:sz w:val="18"/>
    </w:rPr>
  </w:style>
  <w:style w:type="character" w:customStyle="1" w:styleId="ListLabel3">
    <w:name w:val="ListLabel 3"/>
    <w:qFormat/>
    <w:rPr>
      <w:sz w:val="18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sz w:val="18"/>
    </w:rPr>
  </w:style>
  <w:style w:type="character" w:customStyle="1" w:styleId="ListLabel6">
    <w:name w:val="ListLabel 6"/>
    <w:qFormat/>
    <w:rPr>
      <w:sz w:val="18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sz w:val="18"/>
    </w:rPr>
  </w:style>
  <w:style w:type="character" w:customStyle="1" w:styleId="ListLabel9">
    <w:name w:val="ListLabel 9"/>
    <w:qFormat/>
    <w:rPr>
      <w:sz w:val="18"/>
    </w:rPr>
  </w:style>
  <w:style w:type="character" w:customStyle="1" w:styleId="ListLabel10">
    <w:name w:val="ListLabel 10"/>
    <w:qFormat/>
    <w:rPr>
      <w:rFonts w:ascii="Arial" w:hAnsi="Arial"/>
      <w:b/>
      <w:sz w:val="18"/>
    </w:rPr>
  </w:style>
  <w:style w:type="character" w:customStyle="1" w:styleId="ListLabel11">
    <w:name w:val="ListLabel 11"/>
    <w:qFormat/>
    <w:rPr>
      <w:sz w:val="18"/>
    </w:rPr>
  </w:style>
  <w:style w:type="character" w:customStyle="1" w:styleId="ListLabel12">
    <w:name w:val="ListLabel 12"/>
    <w:qFormat/>
    <w:rPr>
      <w:sz w:val="18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sz w:val="18"/>
    </w:rPr>
  </w:style>
  <w:style w:type="character" w:customStyle="1" w:styleId="ListLabel15">
    <w:name w:val="ListLabel 15"/>
    <w:qFormat/>
    <w:rPr>
      <w:sz w:val="18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sz w:val="18"/>
    </w:rPr>
  </w:style>
  <w:style w:type="character" w:customStyle="1" w:styleId="ListLabel18">
    <w:name w:val="ListLabel 18"/>
    <w:qFormat/>
    <w:rPr>
      <w:sz w:val="18"/>
    </w:rPr>
  </w:style>
  <w:style w:type="character" w:customStyle="1" w:styleId="ListLabel19">
    <w:name w:val="ListLabel 19"/>
    <w:qFormat/>
    <w:rPr>
      <w:rFonts w:ascii="Arial" w:hAnsi="Arial" w:cs="Arial"/>
      <w:sz w:val="18"/>
      <w:szCs w:val="18"/>
    </w:rPr>
  </w:style>
  <w:style w:type="character" w:customStyle="1" w:styleId="ListLabel20">
    <w:name w:val="ListLabel 20"/>
    <w:qFormat/>
    <w:rPr>
      <w:rFonts w:ascii="Arial" w:hAnsi="Arial" w:cs="Wingdings"/>
      <w:b/>
      <w:sz w:val="18"/>
    </w:rPr>
  </w:style>
  <w:style w:type="character" w:customStyle="1" w:styleId="ListLabel21">
    <w:name w:val="ListLabel 21"/>
    <w:qFormat/>
    <w:rPr>
      <w:rFonts w:cs="Courier New"/>
      <w:sz w:val="18"/>
    </w:rPr>
  </w:style>
  <w:style w:type="character" w:customStyle="1" w:styleId="ListLabel22">
    <w:name w:val="ListLabel 22"/>
    <w:qFormat/>
    <w:rPr>
      <w:rFonts w:cs="Wingdings"/>
      <w:sz w:val="18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  <w:sz w:val="18"/>
    </w:rPr>
  </w:style>
  <w:style w:type="character" w:customStyle="1" w:styleId="ListLabel25">
    <w:name w:val="ListLabel 25"/>
    <w:qFormat/>
    <w:rPr>
      <w:rFonts w:cs="Wingdings"/>
      <w:sz w:val="18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  <w:sz w:val="18"/>
    </w:rPr>
  </w:style>
  <w:style w:type="character" w:customStyle="1" w:styleId="ListLabel28">
    <w:name w:val="ListLabel 28"/>
    <w:qFormat/>
    <w:rPr>
      <w:rFonts w:cs="Wingdings"/>
      <w:sz w:val="18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Arial" w:hAnsi="Arial" w:cs="Wingdings"/>
      <w:b/>
      <w:sz w:val="18"/>
    </w:rPr>
  </w:style>
  <w:style w:type="character" w:customStyle="1" w:styleId="ListLabel39">
    <w:name w:val="ListLabel 39"/>
    <w:qFormat/>
    <w:rPr>
      <w:rFonts w:cs="Courier New"/>
      <w:sz w:val="18"/>
    </w:rPr>
  </w:style>
  <w:style w:type="character" w:customStyle="1" w:styleId="ListLabel40">
    <w:name w:val="ListLabel 40"/>
    <w:qFormat/>
    <w:rPr>
      <w:rFonts w:cs="Wingdings"/>
      <w:sz w:val="18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  <w:sz w:val="18"/>
    </w:rPr>
  </w:style>
  <w:style w:type="character" w:customStyle="1" w:styleId="ListLabel43">
    <w:name w:val="ListLabel 43"/>
    <w:qFormat/>
    <w:rPr>
      <w:rFonts w:cs="Wingdings"/>
      <w:sz w:val="18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  <w:sz w:val="18"/>
    </w:rPr>
  </w:style>
  <w:style w:type="character" w:customStyle="1" w:styleId="ListLabel46">
    <w:name w:val="ListLabel 46"/>
    <w:qFormat/>
    <w:rPr>
      <w:rFonts w:cs="Wingdings"/>
      <w:sz w:val="18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Arial" w:hAnsi="Arial" w:cs="Arial"/>
      <w:sz w:val="18"/>
      <w:szCs w:val="18"/>
    </w:rPr>
  </w:style>
  <w:style w:type="character" w:customStyle="1" w:styleId="ListLabel57">
    <w:name w:val="ListLabel 57"/>
    <w:qFormat/>
    <w:rPr>
      <w:rFonts w:ascii="Arial" w:hAnsi="Arial" w:cs="Wingdings"/>
      <w:b/>
      <w:sz w:val="18"/>
    </w:rPr>
  </w:style>
  <w:style w:type="character" w:customStyle="1" w:styleId="ListLabel58">
    <w:name w:val="ListLabel 58"/>
    <w:qFormat/>
    <w:rPr>
      <w:rFonts w:cs="Courier New"/>
      <w:sz w:val="18"/>
    </w:rPr>
  </w:style>
  <w:style w:type="character" w:customStyle="1" w:styleId="ListLabel59">
    <w:name w:val="ListLabel 59"/>
    <w:qFormat/>
    <w:rPr>
      <w:rFonts w:cs="Wingdings"/>
      <w:sz w:val="18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  <w:sz w:val="18"/>
    </w:rPr>
  </w:style>
  <w:style w:type="character" w:customStyle="1" w:styleId="ListLabel62">
    <w:name w:val="ListLabel 62"/>
    <w:qFormat/>
    <w:rPr>
      <w:rFonts w:cs="Wingdings"/>
      <w:sz w:val="18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  <w:sz w:val="18"/>
    </w:rPr>
  </w:style>
  <w:style w:type="character" w:customStyle="1" w:styleId="ListLabel65">
    <w:name w:val="ListLabel 65"/>
    <w:qFormat/>
    <w:rPr>
      <w:rFonts w:cs="Wingdings"/>
      <w:sz w:val="18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Arial" w:hAnsi="Arial" w:cs="Wingdings"/>
      <w:b/>
      <w:sz w:val="18"/>
    </w:rPr>
  </w:style>
  <w:style w:type="character" w:customStyle="1" w:styleId="ListLabel76">
    <w:name w:val="ListLabel 76"/>
    <w:qFormat/>
    <w:rPr>
      <w:rFonts w:cs="Courier New"/>
      <w:sz w:val="18"/>
    </w:rPr>
  </w:style>
  <w:style w:type="character" w:customStyle="1" w:styleId="ListLabel77">
    <w:name w:val="ListLabel 77"/>
    <w:qFormat/>
    <w:rPr>
      <w:rFonts w:cs="Wingdings"/>
      <w:sz w:val="18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  <w:sz w:val="18"/>
    </w:rPr>
  </w:style>
  <w:style w:type="character" w:customStyle="1" w:styleId="ListLabel80">
    <w:name w:val="ListLabel 80"/>
    <w:qFormat/>
    <w:rPr>
      <w:rFonts w:cs="Wingdings"/>
      <w:sz w:val="18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  <w:sz w:val="18"/>
    </w:rPr>
  </w:style>
  <w:style w:type="character" w:customStyle="1" w:styleId="ListLabel83">
    <w:name w:val="ListLabel 83"/>
    <w:qFormat/>
    <w:rPr>
      <w:rFonts w:cs="Wingdings"/>
      <w:sz w:val="18"/>
    </w:rPr>
  </w:style>
  <w:style w:type="character" w:customStyle="1" w:styleId="ListLabel84">
    <w:name w:val="ListLabel 84"/>
    <w:qFormat/>
    <w:rPr>
      <w:rFonts w:ascii="Arial" w:hAnsi="Arial" w:cs="Symbol"/>
      <w:sz w:val="18"/>
    </w:rPr>
  </w:style>
  <w:style w:type="character" w:customStyle="1" w:styleId="ListLabel85">
    <w:name w:val="ListLabel 85"/>
    <w:qFormat/>
    <w:rPr>
      <w:rFonts w:ascii="Arial" w:hAnsi="Arial" w:cs="Courier New"/>
      <w:sz w:val="18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Arial" w:hAnsi="Arial" w:cs="Arial"/>
      <w:sz w:val="18"/>
      <w:szCs w:val="18"/>
    </w:rPr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E2258C"/>
    <w:pPr>
      <w:widowControl w:val="0"/>
      <w:suppressAutoHyphens/>
      <w:textAlignment w:val="baseline"/>
    </w:pPr>
    <w:rPr>
      <w:rFonts w:ascii="Times New Roman" w:eastAsia="Arial Unicode MS" w:hAnsi="Times New Roman" w:cs="Mangal"/>
      <w:color w:val="00000A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pPr>
      <w:spacing w:after="15"/>
      <w:ind w:left="720" w:right="38" w:hanging="5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20">
    <w:name w:val="WW8Num20"/>
    <w:qFormat/>
    <w:rsid w:val="00E2258C"/>
  </w:style>
  <w:style w:type="numbering" w:customStyle="1" w:styleId="WW8Num18">
    <w:name w:val="WW8Num18"/>
    <w:qFormat/>
    <w:rsid w:val="00E2258C"/>
  </w:style>
  <w:style w:type="paragraph" w:styleId="Stopka">
    <w:name w:val="footer"/>
    <w:basedOn w:val="Normalny"/>
    <w:link w:val="StopkaZnak"/>
    <w:uiPriority w:val="99"/>
    <w:unhideWhenUsed/>
    <w:rsid w:val="006C22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2A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6C22A4"/>
    <w:pPr>
      <w:widowControl w:val="0"/>
      <w:adjustRightInd w:val="0"/>
      <w:spacing w:line="360" w:lineRule="atLeast"/>
      <w:jc w:val="center"/>
      <w:textAlignment w:val="baseline"/>
    </w:pPr>
    <w:rPr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6C22A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58C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E2258C"/>
    <w:rPr>
      <w:color w:val="000080"/>
      <w:u w:val="single"/>
    </w:rPr>
  </w:style>
  <w:style w:type="character" w:customStyle="1" w:styleId="ListLabel1">
    <w:name w:val="ListLabel 1"/>
    <w:qFormat/>
    <w:rPr>
      <w:rFonts w:ascii="Arial" w:hAnsi="Arial"/>
      <w:b/>
      <w:sz w:val="18"/>
    </w:rPr>
  </w:style>
  <w:style w:type="character" w:customStyle="1" w:styleId="ListLabel2">
    <w:name w:val="ListLabel 2"/>
    <w:qFormat/>
    <w:rPr>
      <w:sz w:val="18"/>
    </w:rPr>
  </w:style>
  <w:style w:type="character" w:customStyle="1" w:styleId="ListLabel3">
    <w:name w:val="ListLabel 3"/>
    <w:qFormat/>
    <w:rPr>
      <w:sz w:val="18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sz w:val="18"/>
    </w:rPr>
  </w:style>
  <w:style w:type="character" w:customStyle="1" w:styleId="ListLabel6">
    <w:name w:val="ListLabel 6"/>
    <w:qFormat/>
    <w:rPr>
      <w:sz w:val="18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sz w:val="18"/>
    </w:rPr>
  </w:style>
  <w:style w:type="character" w:customStyle="1" w:styleId="ListLabel9">
    <w:name w:val="ListLabel 9"/>
    <w:qFormat/>
    <w:rPr>
      <w:sz w:val="18"/>
    </w:rPr>
  </w:style>
  <w:style w:type="character" w:customStyle="1" w:styleId="ListLabel10">
    <w:name w:val="ListLabel 10"/>
    <w:qFormat/>
    <w:rPr>
      <w:rFonts w:ascii="Arial" w:hAnsi="Arial"/>
      <w:b/>
      <w:sz w:val="18"/>
    </w:rPr>
  </w:style>
  <w:style w:type="character" w:customStyle="1" w:styleId="ListLabel11">
    <w:name w:val="ListLabel 11"/>
    <w:qFormat/>
    <w:rPr>
      <w:sz w:val="18"/>
    </w:rPr>
  </w:style>
  <w:style w:type="character" w:customStyle="1" w:styleId="ListLabel12">
    <w:name w:val="ListLabel 12"/>
    <w:qFormat/>
    <w:rPr>
      <w:sz w:val="18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sz w:val="18"/>
    </w:rPr>
  </w:style>
  <w:style w:type="character" w:customStyle="1" w:styleId="ListLabel15">
    <w:name w:val="ListLabel 15"/>
    <w:qFormat/>
    <w:rPr>
      <w:sz w:val="18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sz w:val="18"/>
    </w:rPr>
  </w:style>
  <w:style w:type="character" w:customStyle="1" w:styleId="ListLabel18">
    <w:name w:val="ListLabel 18"/>
    <w:qFormat/>
    <w:rPr>
      <w:sz w:val="18"/>
    </w:rPr>
  </w:style>
  <w:style w:type="character" w:customStyle="1" w:styleId="ListLabel19">
    <w:name w:val="ListLabel 19"/>
    <w:qFormat/>
    <w:rPr>
      <w:rFonts w:ascii="Arial" w:hAnsi="Arial" w:cs="Arial"/>
      <w:sz w:val="18"/>
      <w:szCs w:val="18"/>
    </w:rPr>
  </w:style>
  <w:style w:type="character" w:customStyle="1" w:styleId="ListLabel20">
    <w:name w:val="ListLabel 20"/>
    <w:qFormat/>
    <w:rPr>
      <w:rFonts w:ascii="Arial" w:hAnsi="Arial" w:cs="Wingdings"/>
      <w:b/>
      <w:sz w:val="18"/>
    </w:rPr>
  </w:style>
  <w:style w:type="character" w:customStyle="1" w:styleId="ListLabel21">
    <w:name w:val="ListLabel 21"/>
    <w:qFormat/>
    <w:rPr>
      <w:rFonts w:cs="Courier New"/>
      <w:sz w:val="18"/>
    </w:rPr>
  </w:style>
  <w:style w:type="character" w:customStyle="1" w:styleId="ListLabel22">
    <w:name w:val="ListLabel 22"/>
    <w:qFormat/>
    <w:rPr>
      <w:rFonts w:cs="Wingdings"/>
      <w:sz w:val="18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  <w:sz w:val="18"/>
    </w:rPr>
  </w:style>
  <w:style w:type="character" w:customStyle="1" w:styleId="ListLabel25">
    <w:name w:val="ListLabel 25"/>
    <w:qFormat/>
    <w:rPr>
      <w:rFonts w:cs="Wingdings"/>
      <w:sz w:val="18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  <w:sz w:val="18"/>
    </w:rPr>
  </w:style>
  <w:style w:type="character" w:customStyle="1" w:styleId="ListLabel28">
    <w:name w:val="ListLabel 28"/>
    <w:qFormat/>
    <w:rPr>
      <w:rFonts w:cs="Wingdings"/>
      <w:sz w:val="18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ascii="Arial" w:hAnsi="Arial" w:cs="Wingdings"/>
      <w:b/>
      <w:sz w:val="18"/>
    </w:rPr>
  </w:style>
  <w:style w:type="character" w:customStyle="1" w:styleId="ListLabel39">
    <w:name w:val="ListLabel 39"/>
    <w:qFormat/>
    <w:rPr>
      <w:rFonts w:cs="Courier New"/>
      <w:sz w:val="18"/>
    </w:rPr>
  </w:style>
  <w:style w:type="character" w:customStyle="1" w:styleId="ListLabel40">
    <w:name w:val="ListLabel 40"/>
    <w:qFormat/>
    <w:rPr>
      <w:rFonts w:cs="Wingdings"/>
      <w:sz w:val="18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  <w:sz w:val="18"/>
    </w:rPr>
  </w:style>
  <w:style w:type="character" w:customStyle="1" w:styleId="ListLabel43">
    <w:name w:val="ListLabel 43"/>
    <w:qFormat/>
    <w:rPr>
      <w:rFonts w:cs="Wingdings"/>
      <w:sz w:val="18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  <w:sz w:val="18"/>
    </w:rPr>
  </w:style>
  <w:style w:type="character" w:customStyle="1" w:styleId="ListLabel46">
    <w:name w:val="ListLabel 46"/>
    <w:qFormat/>
    <w:rPr>
      <w:rFonts w:cs="Wingdings"/>
      <w:sz w:val="18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Arial" w:hAnsi="Arial" w:cs="Arial"/>
      <w:sz w:val="18"/>
      <w:szCs w:val="18"/>
    </w:rPr>
  </w:style>
  <w:style w:type="character" w:customStyle="1" w:styleId="ListLabel57">
    <w:name w:val="ListLabel 57"/>
    <w:qFormat/>
    <w:rPr>
      <w:rFonts w:ascii="Arial" w:hAnsi="Arial" w:cs="Wingdings"/>
      <w:b/>
      <w:sz w:val="18"/>
    </w:rPr>
  </w:style>
  <w:style w:type="character" w:customStyle="1" w:styleId="ListLabel58">
    <w:name w:val="ListLabel 58"/>
    <w:qFormat/>
    <w:rPr>
      <w:rFonts w:cs="Courier New"/>
      <w:sz w:val="18"/>
    </w:rPr>
  </w:style>
  <w:style w:type="character" w:customStyle="1" w:styleId="ListLabel59">
    <w:name w:val="ListLabel 59"/>
    <w:qFormat/>
    <w:rPr>
      <w:rFonts w:cs="Wingdings"/>
      <w:sz w:val="18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  <w:sz w:val="18"/>
    </w:rPr>
  </w:style>
  <w:style w:type="character" w:customStyle="1" w:styleId="ListLabel62">
    <w:name w:val="ListLabel 62"/>
    <w:qFormat/>
    <w:rPr>
      <w:rFonts w:cs="Wingdings"/>
      <w:sz w:val="18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  <w:sz w:val="18"/>
    </w:rPr>
  </w:style>
  <w:style w:type="character" w:customStyle="1" w:styleId="ListLabel65">
    <w:name w:val="ListLabel 65"/>
    <w:qFormat/>
    <w:rPr>
      <w:rFonts w:cs="Wingdings"/>
      <w:sz w:val="18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ascii="Arial" w:hAnsi="Arial" w:cs="Wingdings"/>
      <w:b/>
      <w:sz w:val="18"/>
    </w:rPr>
  </w:style>
  <w:style w:type="character" w:customStyle="1" w:styleId="ListLabel76">
    <w:name w:val="ListLabel 76"/>
    <w:qFormat/>
    <w:rPr>
      <w:rFonts w:cs="Courier New"/>
      <w:sz w:val="18"/>
    </w:rPr>
  </w:style>
  <w:style w:type="character" w:customStyle="1" w:styleId="ListLabel77">
    <w:name w:val="ListLabel 77"/>
    <w:qFormat/>
    <w:rPr>
      <w:rFonts w:cs="Wingdings"/>
      <w:sz w:val="18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  <w:sz w:val="18"/>
    </w:rPr>
  </w:style>
  <w:style w:type="character" w:customStyle="1" w:styleId="ListLabel80">
    <w:name w:val="ListLabel 80"/>
    <w:qFormat/>
    <w:rPr>
      <w:rFonts w:cs="Wingdings"/>
      <w:sz w:val="18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  <w:sz w:val="18"/>
    </w:rPr>
  </w:style>
  <w:style w:type="character" w:customStyle="1" w:styleId="ListLabel83">
    <w:name w:val="ListLabel 83"/>
    <w:qFormat/>
    <w:rPr>
      <w:rFonts w:cs="Wingdings"/>
      <w:sz w:val="18"/>
    </w:rPr>
  </w:style>
  <w:style w:type="character" w:customStyle="1" w:styleId="ListLabel84">
    <w:name w:val="ListLabel 84"/>
    <w:qFormat/>
    <w:rPr>
      <w:rFonts w:ascii="Arial" w:hAnsi="Arial" w:cs="Symbol"/>
      <w:sz w:val="18"/>
    </w:rPr>
  </w:style>
  <w:style w:type="character" w:customStyle="1" w:styleId="ListLabel85">
    <w:name w:val="ListLabel 85"/>
    <w:qFormat/>
    <w:rPr>
      <w:rFonts w:ascii="Arial" w:hAnsi="Arial" w:cs="Courier New"/>
      <w:sz w:val="18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ascii="Arial" w:hAnsi="Arial" w:cs="Arial"/>
      <w:sz w:val="18"/>
      <w:szCs w:val="18"/>
    </w:rPr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E2258C"/>
    <w:pPr>
      <w:widowControl w:val="0"/>
      <w:suppressAutoHyphens/>
      <w:textAlignment w:val="baseline"/>
    </w:pPr>
    <w:rPr>
      <w:rFonts w:ascii="Times New Roman" w:eastAsia="Arial Unicode MS" w:hAnsi="Times New Roman" w:cs="Mangal"/>
      <w:color w:val="00000A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pPr>
      <w:spacing w:after="15"/>
      <w:ind w:left="720" w:right="38" w:hanging="5"/>
      <w:contextualSpacing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20">
    <w:name w:val="WW8Num20"/>
    <w:qFormat/>
    <w:rsid w:val="00E2258C"/>
  </w:style>
  <w:style w:type="numbering" w:customStyle="1" w:styleId="WW8Num18">
    <w:name w:val="WW8Num18"/>
    <w:qFormat/>
    <w:rsid w:val="00E2258C"/>
  </w:style>
  <w:style w:type="paragraph" w:styleId="Stopka">
    <w:name w:val="footer"/>
    <w:basedOn w:val="Normalny"/>
    <w:link w:val="StopkaZnak"/>
    <w:uiPriority w:val="99"/>
    <w:unhideWhenUsed/>
    <w:rsid w:val="006C22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22A4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6C22A4"/>
    <w:pPr>
      <w:widowControl w:val="0"/>
      <w:adjustRightInd w:val="0"/>
      <w:spacing w:line="360" w:lineRule="atLeast"/>
      <w:jc w:val="center"/>
      <w:textAlignment w:val="baseline"/>
    </w:pPr>
    <w:rPr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6C22A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/gpu_list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ideocardbenchmark.net/gpu_list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15</Pages>
  <Words>4774</Words>
  <Characters>28644</Characters>
  <Application>Microsoft Office Word</Application>
  <DocSecurity>0</DocSecurity>
  <Lines>238</Lines>
  <Paragraphs>66</Paragraphs>
  <ScaleCrop>false</ScaleCrop>
  <Company>Microsoft</Company>
  <LinksUpToDate>false</LinksUpToDate>
  <CharactersWithSpaces>33352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Kancelaria Adwokatów i Radców Prawnych P.J. Sowisło</cp:lastModifiedBy>
  <cp:revision>119</cp:revision>
  <dcterms:created xsi:type="dcterms:W3CDTF">2017-08-11T10:10:00Z</dcterms:created>
  <dcterms:modified xsi:type="dcterms:W3CDTF">2020-02-24T14:37:00Z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